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A2E5C">
      <w:pPr>
        <w:pStyle w:val="2"/>
        <w:rPr>
          <w:sz w:val="20"/>
        </w:rPr>
      </w:pPr>
    </w:p>
    <w:p w14:paraId="5F308628">
      <w:pPr>
        <w:pStyle w:val="2"/>
        <w:rPr>
          <w:sz w:val="20"/>
        </w:rPr>
      </w:pPr>
    </w:p>
    <w:p w14:paraId="0887B5AB">
      <w:pPr>
        <w:pStyle w:val="2"/>
        <w:spacing w:before="10"/>
        <w:rPr>
          <w:sz w:val="14"/>
        </w:rPr>
      </w:pPr>
    </w:p>
    <w:p w14:paraId="08B68D8D">
      <w:pPr>
        <w:spacing w:before="58"/>
        <w:ind w:left="0" w:right="282" w:firstLine="0"/>
        <w:jc w:val="center"/>
        <w:rPr>
          <w:rFonts w:hint="eastAsia" w:eastAsia="宋体"/>
          <w:sz w:val="42"/>
          <w:lang w:val="en-US" w:eastAsia="zh-CN"/>
        </w:rPr>
      </w:pPr>
      <w:bookmarkStart w:id="0" w:name="_GoBack"/>
      <w:bookmarkEnd w:id="0"/>
      <w:r>
        <w:rPr>
          <w:sz w:val="42"/>
        </w:rPr>
        <w:t>包头市城镇二次供水管理办法</w:t>
      </w:r>
      <w:r>
        <w:rPr>
          <w:rFonts w:hint="eastAsia"/>
          <w:sz w:val="42"/>
          <w:lang w:eastAsia="zh-CN"/>
        </w:rPr>
        <w:t>（征求意见稿）</w:t>
      </w:r>
    </w:p>
    <w:p w14:paraId="58F9E9E8">
      <w:pPr>
        <w:pStyle w:val="2"/>
        <w:spacing w:before="6"/>
        <w:rPr>
          <w:sz w:val="59"/>
        </w:rPr>
      </w:pPr>
    </w:p>
    <w:p w14:paraId="4784A677">
      <w:pPr>
        <w:pStyle w:val="2"/>
        <w:tabs>
          <w:tab w:val="left" w:pos="1278"/>
          <w:tab w:val="left" w:pos="1922"/>
        </w:tabs>
        <w:ind w:right="272"/>
        <w:jc w:val="center"/>
        <w:rPr>
          <w:rFonts w:hint="eastAsia" w:ascii="黑体" w:eastAsia="黑体"/>
        </w:rPr>
      </w:pPr>
      <w:r>
        <w:rPr>
          <w:rFonts w:hint="eastAsia" w:ascii="黑体" w:eastAsia="黑体"/>
        </w:rPr>
        <w:t>第</w:t>
      </w:r>
      <w:r>
        <w:rPr>
          <w:rFonts w:hint="eastAsia" w:ascii="黑体" w:eastAsia="黑体"/>
          <w:spacing w:val="-5"/>
        </w:rPr>
        <w:t>一</w:t>
      </w:r>
      <w:r>
        <w:rPr>
          <w:rFonts w:hint="eastAsia" w:ascii="黑体" w:eastAsia="黑体"/>
        </w:rPr>
        <w:t>章</w:t>
      </w:r>
      <w:r>
        <w:rPr>
          <w:rFonts w:hint="eastAsia" w:ascii="黑体" w:eastAsia="黑体"/>
        </w:rPr>
        <w:tab/>
      </w:r>
      <w:r>
        <w:rPr>
          <w:rFonts w:hint="eastAsia" w:ascii="黑体" w:eastAsia="黑体"/>
        </w:rPr>
        <w:t>总</w:t>
      </w:r>
      <w:r>
        <w:rPr>
          <w:rFonts w:hint="eastAsia" w:ascii="黑体" w:eastAsia="黑体"/>
        </w:rPr>
        <w:tab/>
      </w:r>
      <w:r>
        <w:rPr>
          <w:rFonts w:hint="eastAsia" w:ascii="黑体" w:eastAsia="黑体"/>
        </w:rPr>
        <w:t>则</w:t>
      </w:r>
    </w:p>
    <w:p w14:paraId="3B0AA543">
      <w:pPr>
        <w:pStyle w:val="2"/>
        <w:rPr>
          <w:rFonts w:ascii="黑体"/>
        </w:rPr>
      </w:pPr>
    </w:p>
    <w:p w14:paraId="6FFB37BF">
      <w:pPr>
        <w:pStyle w:val="2"/>
        <w:spacing w:before="9"/>
        <w:rPr>
          <w:rFonts w:ascii="黑体"/>
          <w:sz w:val="29"/>
        </w:rPr>
      </w:pPr>
    </w:p>
    <w:p w14:paraId="0857E3E9">
      <w:pPr>
        <w:pStyle w:val="2"/>
        <w:tabs>
          <w:tab w:val="left" w:pos="2035"/>
        </w:tabs>
        <w:spacing w:line="350" w:lineRule="auto"/>
        <w:ind w:left="113" w:right="112" w:firstLine="639"/>
        <w:rPr>
          <w:rFonts w:hint="eastAsia"/>
          <w:w w:val="105"/>
        </w:rPr>
      </w:pPr>
      <w:r>
        <w:rPr>
          <w:rFonts w:hint="eastAsia" w:ascii="黑体" w:eastAsia="黑体"/>
          <w:w w:val="110"/>
        </w:rPr>
        <w:t>第</w:t>
      </w:r>
      <w:r>
        <w:rPr>
          <w:rFonts w:hint="eastAsia" w:ascii="黑体" w:eastAsia="黑体"/>
          <w:spacing w:val="-5"/>
          <w:w w:val="110"/>
        </w:rPr>
        <w:t>一</w:t>
      </w:r>
      <w:r>
        <w:rPr>
          <w:rFonts w:hint="eastAsia" w:ascii="黑体" w:eastAsia="黑体"/>
          <w:w w:val="110"/>
        </w:rPr>
        <w:t>条</w:t>
      </w:r>
      <w:r>
        <w:rPr>
          <w:rFonts w:hint="eastAsia" w:ascii="黑体" w:eastAsia="黑体"/>
          <w:w w:val="110"/>
        </w:rPr>
        <w:tab/>
      </w:r>
      <w:r>
        <w:rPr>
          <w:rFonts w:hint="eastAsia"/>
          <w:w w:val="105"/>
        </w:rPr>
        <w:t>为加强城镇二次供水管理工作，保障城镇居民生活饮用水安全，根据国务院《供水条例》《城镇供水服务》（GB/T 32065-2022）《包头市供水条例</w:t>
      </w:r>
      <w:r>
        <w:rPr>
          <w:rFonts w:hint="eastAsia"/>
          <w:w w:val="105"/>
          <w:lang w:eastAsia="zh-CN"/>
        </w:rPr>
        <w:t>》</w:t>
      </w:r>
      <w:r>
        <w:rPr>
          <w:rFonts w:hint="eastAsia"/>
          <w:w w:val="105"/>
        </w:rPr>
        <w:t>、住建部、卫生计生委《生活饮用水卫生监督管理办法</w:t>
      </w:r>
      <w:r>
        <w:rPr>
          <w:rFonts w:hint="eastAsia"/>
          <w:w w:val="105"/>
          <w:lang w:eastAsia="zh-CN"/>
        </w:rPr>
        <w:t>》</w:t>
      </w:r>
      <w:r>
        <w:rPr>
          <w:rFonts w:hint="eastAsia"/>
          <w:w w:val="105"/>
        </w:rPr>
        <w:t>(住建部、卫生计生委令第31号)、</w:t>
      </w:r>
      <w:r>
        <w:rPr>
          <w:rFonts w:hint="eastAsia"/>
          <w:w w:val="105"/>
          <w:lang w:eastAsia="zh-CN"/>
        </w:rPr>
        <w:t>《</w:t>
      </w:r>
      <w:r>
        <w:rPr>
          <w:rFonts w:hint="eastAsia"/>
          <w:w w:val="105"/>
        </w:rPr>
        <w:t>住房城乡建设部、国家发展改革委、公安部、国家卫生计生委关于加强和改进城镇居民二次供水设施建设与管理确保水质安全的通知</w:t>
      </w:r>
      <w:r>
        <w:rPr>
          <w:rFonts w:hint="eastAsia"/>
          <w:w w:val="105"/>
          <w:lang w:eastAsia="zh-CN"/>
        </w:rPr>
        <w:t>》</w:t>
      </w:r>
      <w:r>
        <w:rPr>
          <w:rFonts w:hint="eastAsia"/>
          <w:w w:val="105"/>
        </w:rPr>
        <w:t>(建城(2015)31号)、</w:t>
      </w:r>
      <w:r>
        <w:rPr>
          <w:rFonts w:hint="eastAsia"/>
          <w:w w:val="105"/>
          <w:lang w:eastAsia="zh-CN"/>
        </w:rPr>
        <w:t>《</w:t>
      </w:r>
      <w:r>
        <w:rPr>
          <w:rFonts w:hint="eastAsia"/>
          <w:w w:val="105"/>
        </w:rPr>
        <w:t>城市供水行业反恐怖防范要求</w:t>
      </w:r>
      <w:r>
        <w:rPr>
          <w:rFonts w:hint="eastAsia"/>
          <w:w w:val="105"/>
          <w:lang w:eastAsia="zh-CN"/>
        </w:rPr>
        <w:t>》</w:t>
      </w:r>
      <w:r>
        <w:rPr>
          <w:rFonts w:hint="eastAsia"/>
          <w:w w:val="105"/>
        </w:rPr>
        <w:t>(DB15/T1193-2017)等法律、法规、规章及标准规范，结合我市实际，制定本办法。</w:t>
      </w:r>
    </w:p>
    <w:p w14:paraId="24B6817E">
      <w:pPr>
        <w:pStyle w:val="2"/>
        <w:tabs>
          <w:tab w:val="left" w:pos="1396"/>
          <w:tab w:val="left" w:pos="2035"/>
        </w:tabs>
        <w:spacing w:before="15" w:line="350" w:lineRule="auto"/>
        <w:ind w:right="342" w:firstLine="672"/>
        <w:jc w:val="both"/>
      </w:pPr>
      <w:r>
        <w:rPr>
          <w:rFonts w:hint="eastAsia" w:ascii="黑体" w:eastAsia="黑体"/>
          <w:w w:val="105"/>
        </w:rPr>
        <w:t>第</w:t>
      </w:r>
      <w:r>
        <w:rPr>
          <w:rFonts w:hint="eastAsia" w:ascii="黑体" w:eastAsia="黑体"/>
          <w:spacing w:val="-5"/>
          <w:w w:val="105"/>
        </w:rPr>
        <w:t>二</w:t>
      </w:r>
      <w:r>
        <w:rPr>
          <w:rFonts w:hint="eastAsia" w:ascii="黑体" w:eastAsia="黑体"/>
          <w:w w:val="105"/>
        </w:rPr>
        <w:t>条</w:t>
      </w:r>
      <w:r>
        <w:rPr>
          <w:rFonts w:hint="eastAsia" w:ascii="黑体" w:eastAsia="黑体"/>
          <w:w w:val="105"/>
        </w:rPr>
        <w:tab/>
      </w:r>
      <w:r>
        <w:rPr>
          <w:rFonts w:hint="eastAsia"/>
          <w:spacing w:val="-6"/>
        </w:rPr>
        <w:t>本市行政区域内城镇二次供水设施包括公共供水及管道直饮水的规划与建设、改造与移交、运行维护、水质管理、卫生监督监测等，适用本办法。</w:t>
      </w:r>
    </w:p>
    <w:p w14:paraId="1891E8DB">
      <w:pPr>
        <w:pStyle w:val="2"/>
        <w:spacing w:before="5" w:line="350" w:lineRule="auto"/>
        <w:ind w:left="113" w:right="385" w:firstLine="672" w:firstLineChars="200"/>
        <w:jc w:val="both"/>
        <w:rPr>
          <w:rFonts w:hint="eastAsia"/>
          <w:w w:val="105"/>
        </w:rPr>
      </w:pPr>
      <w:r>
        <w:rPr>
          <w:rFonts w:hint="eastAsia" w:ascii="黑体" w:eastAsia="黑体"/>
          <w:w w:val="105"/>
        </w:rPr>
        <w:t>第</w:t>
      </w:r>
      <w:r>
        <w:rPr>
          <w:rFonts w:hint="eastAsia" w:ascii="黑体" w:eastAsia="黑体"/>
          <w:spacing w:val="-5"/>
          <w:w w:val="105"/>
        </w:rPr>
        <w:t>三</w:t>
      </w:r>
      <w:r>
        <w:rPr>
          <w:rFonts w:hint="eastAsia" w:ascii="黑体" w:eastAsia="黑体"/>
          <w:w w:val="105"/>
        </w:rPr>
        <w:t>条</w:t>
      </w:r>
      <w:r>
        <w:rPr>
          <w:rFonts w:hint="eastAsia" w:ascii="黑体" w:eastAsia="黑体"/>
          <w:w w:val="105"/>
        </w:rPr>
        <w:tab/>
      </w:r>
      <w:r>
        <w:rPr>
          <w:rFonts w:hint="eastAsia"/>
          <w:w w:val="105"/>
        </w:rPr>
        <w:t>本办法所称城镇二次供水设施，是指将集中式供水的管道水通过另行加压、储存，再送达用户的供水设施，包括泵房、储水设施、加压和水处理设备、电气和自控系统、供水管线、安防设施等相关设施。</w:t>
      </w:r>
    </w:p>
    <w:p w14:paraId="6807C39A">
      <w:pPr>
        <w:pStyle w:val="2"/>
        <w:spacing w:before="5" w:line="350" w:lineRule="auto"/>
        <w:ind w:left="113" w:right="385" w:firstLine="672" w:firstLineChars="200"/>
        <w:jc w:val="both"/>
        <w:rPr>
          <w:rFonts w:hint="eastAsia"/>
          <w:w w:val="105"/>
        </w:rPr>
      </w:pPr>
      <w:r>
        <w:rPr>
          <w:rFonts w:hint="eastAsia"/>
          <w:w w:val="105"/>
        </w:rPr>
        <w:t>管道直饮水在此基础上还包括循环管道、终端净化装置以及为满足管道直饮水输送要求，在直饮水制水站输出端至用户终端之间设置的供水设施。</w:t>
      </w:r>
    </w:p>
    <w:p w14:paraId="4AD4BD71">
      <w:pPr>
        <w:pStyle w:val="2"/>
        <w:spacing w:before="5" w:line="350" w:lineRule="auto"/>
        <w:ind w:left="113" w:right="385" w:firstLine="672" w:firstLineChars="200"/>
        <w:jc w:val="both"/>
        <w:rPr>
          <w:spacing w:val="-13"/>
          <w:w w:val="105"/>
        </w:rPr>
      </w:pPr>
      <w:r>
        <w:rPr>
          <w:rFonts w:hint="eastAsia"/>
          <w:w w:val="105"/>
        </w:rPr>
        <w:t>本办法所称的城镇二次供水设施运行管理单位包括二次供水设施产权所有人或其委托的公共供水企业、物业服务企业、其他管理人等。</w:t>
      </w:r>
    </w:p>
    <w:p w14:paraId="1AA8E13D">
      <w:pPr>
        <w:pStyle w:val="2"/>
        <w:spacing w:before="7" w:line="350" w:lineRule="auto"/>
        <w:ind w:left="111" w:right="214" w:firstLine="638"/>
        <w:rPr>
          <w:rFonts w:hint="eastAsia"/>
          <w:spacing w:val="-12"/>
        </w:rPr>
      </w:pPr>
      <w:r>
        <w:rPr>
          <w:rFonts w:hint="eastAsia" w:ascii="黑体" w:eastAsia="黑体"/>
          <w:spacing w:val="10"/>
        </w:rPr>
        <w:t xml:space="preserve">第四条 </w:t>
      </w:r>
      <w:r>
        <w:rPr>
          <w:rFonts w:hint="eastAsia"/>
          <w:spacing w:val="-12"/>
        </w:rPr>
        <w:t>市供水行政主管部门负责昆都仑区、青山区、东河区、九原区及稀土高新技术产业开发区内的城镇二次供水监督管理和指导工作；石拐区、白云鄂博矿区、土默特右旗、达尔罕茂明安联合旗、固阳县供水行政主管部门负责本行政区域内城镇二次供水监督管理和指导工作。</w:t>
      </w:r>
    </w:p>
    <w:p w14:paraId="0F923C38">
      <w:pPr>
        <w:pStyle w:val="2"/>
        <w:spacing w:before="7" w:line="350" w:lineRule="auto"/>
        <w:ind w:left="111" w:right="214" w:firstLine="638"/>
        <w:rPr>
          <w:spacing w:val="-12"/>
        </w:rPr>
      </w:pPr>
      <w:r>
        <w:rPr>
          <w:rFonts w:hint="eastAsia"/>
          <w:spacing w:val="-12"/>
        </w:rPr>
        <w:t>发展和改革、公安、自然资源、住房和城乡建设、卫健、市场监督等部门，按照各自职责做好二次供水相关工作。</w:t>
      </w:r>
    </w:p>
    <w:p w14:paraId="6935FD90">
      <w:pPr>
        <w:pStyle w:val="2"/>
        <w:spacing w:before="5" w:line="350" w:lineRule="auto"/>
        <w:ind w:left="111" w:right="214" w:firstLine="638"/>
        <w:rPr>
          <w:rFonts w:hint="eastAsia"/>
          <w:spacing w:val="-13"/>
        </w:rPr>
      </w:pPr>
      <w:r>
        <w:rPr>
          <w:rFonts w:hint="eastAsia" w:ascii="黑体" w:eastAsia="黑体"/>
          <w:spacing w:val="10"/>
        </w:rPr>
        <w:t xml:space="preserve">第五条 </w:t>
      </w:r>
      <w:r>
        <w:rPr>
          <w:rFonts w:hint="eastAsia"/>
          <w:spacing w:val="-13"/>
        </w:rPr>
        <w:t>城镇二次供水应当按照统一规划、专业建设、规范运营、安全可控的原则，逐步推进由公共供水企业实行统建统管，保障供水安全与服务品质。</w:t>
      </w:r>
    </w:p>
    <w:p w14:paraId="714C745D">
      <w:pPr>
        <w:pStyle w:val="2"/>
        <w:spacing w:before="5" w:line="350" w:lineRule="auto"/>
        <w:ind w:left="111" w:right="214" w:firstLine="638"/>
        <w:rPr>
          <w:sz w:val="47"/>
        </w:rPr>
      </w:pPr>
      <w:r>
        <w:rPr>
          <w:rFonts w:hint="eastAsia"/>
          <w:spacing w:val="-13"/>
        </w:rPr>
        <w:t>城镇二次供水设施建设工程应当采用节能型供水方式、供水设备。</w:t>
      </w:r>
    </w:p>
    <w:p w14:paraId="6F7CB89A">
      <w:pPr>
        <w:pStyle w:val="2"/>
        <w:tabs>
          <w:tab w:val="left" w:pos="1282"/>
        </w:tabs>
        <w:ind w:right="102"/>
        <w:jc w:val="center"/>
        <w:rPr>
          <w:rFonts w:hint="eastAsia" w:ascii="黑体" w:eastAsia="黑体"/>
        </w:rPr>
      </w:pPr>
      <w:r>
        <w:rPr>
          <w:rFonts w:hint="eastAsia" w:ascii="黑体" w:eastAsia="黑体"/>
        </w:rPr>
        <w:t>第</w:t>
      </w:r>
      <w:r>
        <w:rPr>
          <w:rFonts w:hint="eastAsia" w:ascii="黑体" w:eastAsia="黑体"/>
          <w:spacing w:val="-5"/>
        </w:rPr>
        <w:t>二</w:t>
      </w:r>
      <w:r>
        <w:rPr>
          <w:rFonts w:hint="eastAsia" w:ascii="黑体" w:eastAsia="黑体"/>
        </w:rPr>
        <w:t>章</w:t>
      </w:r>
      <w:r>
        <w:rPr>
          <w:rFonts w:hint="eastAsia" w:ascii="黑体" w:eastAsia="黑体"/>
        </w:rPr>
        <w:tab/>
      </w:r>
      <w:r>
        <w:rPr>
          <w:rFonts w:hint="eastAsia" w:ascii="黑体" w:eastAsia="黑体"/>
        </w:rPr>
        <w:t>建</w:t>
      </w:r>
      <w:r>
        <w:rPr>
          <w:rFonts w:hint="eastAsia" w:ascii="黑体" w:eastAsia="黑体"/>
          <w:spacing w:val="-5"/>
        </w:rPr>
        <w:t>设</w:t>
      </w:r>
      <w:r>
        <w:rPr>
          <w:rFonts w:hint="eastAsia" w:ascii="黑体" w:eastAsia="黑体"/>
        </w:rPr>
        <w:t>与改造</w:t>
      </w:r>
    </w:p>
    <w:p w14:paraId="18A9975E">
      <w:pPr>
        <w:pStyle w:val="2"/>
        <w:rPr>
          <w:rFonts w:ascii="黑体"/>
        </w:rPr>
      </w:pPr>
    </w:p>
    <w:p w14:paraId="2F59DD60">
      <w:pPr>
        <w:pStyle w:val="2"/>
        <w:spacing w:before="9"/>
        <w:rPr>
          <w:rFonts w:ascii="黑体"/>
          <w:sz w:val="29"/>
        </w:rPr>
      </w:pPr>
    </w:p>
    <w:p w14:paraId="18694300">
      <w:pPr>
        <w:pStyle w:val="2"/>
        <w:spacing w:line="350" w:lineRule="auto"/>
        <w:ind w:left="111" w:right="210" w:firstLine="638"/>
        <w:jc w:val="both"/>
      </w:pPr>
      <w:r>
        <w:rPr>
          <w:rFonts w:hint="eastAsia" w:ascii="黑体" w:eastAsia="黑体"/>
          <w:spacing w:val="10"/>
        </w:rPr>
        <w:t xml:space="preserve">第六条 </w:t>
      </w:r>
      <w:r>
        <w:rPr>
          <w:rFonts w:hint="eastAsia"/>
          <w:spacing w:val="-13"/>
        </w:rPr>
        <w:t>新建、改建、扩建的建设项目对水压要求超过城镇公共供水水压标准的，建设单位应当配套建设二次供水设施。二次供水设施属于建设项目的配套工程，应当与主体工程同时设计、同时施工、同时验收后交付使用。</w:t>
      </w:r>
    </w:p>
    <w:p w14:paraId="50064278">
      <w:pPr>
        <w:pStyle w:val="2"/>
        <w:spacing w:before="6" w:line="350" w:lineRule="auto"/>
        <w:ind w:left="111" w:right="214" w:firstLine="638"/>
        <w:jc w:val="both"/>
      </w:pPr>
      <w:r>
        <w:rPr>
          <w:rFonts w:hint="eastAsia" w:ascii="黑体" w:eastAsia="黑体"/>
          <w:spacing w:val="19"/>
        </w:rPr>
        <w:t xml:space="preserve">第七条 </w:t>
      </w:r>
      <w:r>
        <w:rPr>
          <w:spacing w:val="2"/>
        </w:rPr>
        <w:t>城镇二次供水工程的实施应当委托具有相应资质</w:t>
      </w:r>
      <w:r>
        <w:rPr>
          <w:spacing w:val="-3"/>
        </w:rPr>
        <w:t>的单位承担</w:t>
      </w:r>
      <w:r>
        <w:rPr>
          <w:spacing w:val="-58"/>
          <w:w w:val="180"/>
        </w:rPr>
        <w:t>,</w:t>
      </w:r>
      <w:r>
        <w:rPr>
          <w:spacing w:val="-11"/>
        </w:rPr>
        <w:t>并严格执行国家法定建设程序及国家、地方和行业</w:t>
      </w:r>
      <w:r>
        <w:t>有关技术标准、规范和规程。</w:t>
      </w:r>
    </w:p>
    <w:p w14:paraId="1B49B686">
      <w:pPr>
        <w:pStyle w:val="2"/>
        <w:spacing w:before="190" w:line="350" w:lineRule="auto"/>
        <w:ind w:left="111" w:right="210" w:firstLine="638"/>
        <w:jc w:val="both"/>
      </w:pPr>
      <w:r>
        <w:rPr>
          <w:rFonts w:hint="eastAsia" w:ascii="黑体" w:eastAsia="黑体"/>
          <w:spacing w:val="18"/>
        </w:rPr>
        <w:t xml:space="preserve">第八条 </w:t>
      </w:r>
      <w:r>
        <w:rPr>
          <w:spacing w:val="2"/>
        </w:rPr>
        <w:t>需要配套建设城镇二次供水设施的单位和个人应</w:t>
      </w:r>
      <w:r>
        <w:rPr>
          <w:spacing w:val="-14"/>
        </w:rPr>
        <w:t>当征求公共供水企业意见。新建二次供水设施的设计应当符合公</w:t>
      </w:r>
      <w:r>
        <w:rPr>
          <w:spacing w:val="-4"/>
        </w:rPr>
        <w:t>共供水管网运行要求。</w:t>
      </w:r>
    </w:p>
    <w:p w14:paraId="35376D55">
      <w:pPr>
        <w:pStyle w:val="2"/>
        <w:spacing w:before="190" w:line="350" w:lineRule="auto"/>
        <w:ind w:left="111" w:right="210" w:firstLine="638"/>
        <w:jc w:val="both"/>
        <w:rPr>
          <w:rFonts w:hint="eastAsia"/>
          <w:spacing w:val="-14"/>
        </w:rPr>
      </w:pPr>
      <w:r>
        <w:rPr>
          <w:rFonts w:hint="eastAsia" w:ascii="黑体" w:eastAsia="黑体"/>
          <w:spacing w:val="-15"/>
          <w:w w:val="105"/>
        </w:rPr>
        <w:t xml:space="preserve">第九条 </w:t>
      </w:r>
      <w:r>
        <w:rPr>
          <w:rFonts w:hint="eastAsia"/>
          <w:spacing w:val="-14"/>
        </w:rPr>
        <w:t>新建城镇二次供水设施，优先采用由开发建设单位委托公共供水企业统一建设、统一管理的模式（统建统管）。</w:t>
      </w:r>
    </w:p>
    <w:p w14:paraId="7C131634">
      <w:pPr>
        <w:pStyle w:val="2"/>
        <w:spacing w:before="190" w:line="350" w:lineRule="auto"/>
        <w:ind w:left="111" w:right="210" w:firstLine="638"/>
        <w:jc w:val="both"/>
        <w:rPr>
          <w:rFonts w:hint="eastAsia"/>
          <w:spacing w:val="-14"/>
        </w:rPr>
      </w:pPr>
      <w:r>
        <w:rPr>
          <w:rFonts w:hint="eastAsia"/>
          <w:spacing w:val="-14"/>
        </w:rPr>
        <w:t>开发建设单位委托公共供水企业建设的，双方应签订协议，明确建设标准、费用承担、产权归属、移交程序等内容，开发建设单位应当配合城镇二次供水设施的施工，承担相关管沟、设备用房等土建工程的配套建设。</w:t>
      </w:r>
    </w:p>
    <w:p w14:paraId="1E248D47">
      <w:pPr>
        <w:pStyle w:val="2"/>
        <w:tabs>
          <w:tab w:val="left" w:pos="1394"/>
        </w:tabs>
        <w:spacing w:before="8" w:line="350" w:lineRule="auto"/>
        <w:ind w:left="111" w:right="99" w:firstLine="638"/>
        <w:jc w:val="right"/>
      </w:pPr>
      <w:r>
        <w:rPr>
          <w:rFonts w:hint="eastAsia"/>
        </w:rPr>
        <w:t>开发建设单位自行建设的，二次供水设施的设计、施工应严格满足国家、自治区和我市相关规定、技术标准、规范、规程要求。须经供水行政主管部门、住房城乡建设主管部门按照各自职能，同时验收合格后方可投入使用。供水行政主管部门、住房城乡建设主管部门应当加强对开发建设单位施工情况的监督管理。</w:t>
      </w:r>
    </w:p>
    <w:p w14:paraId="7F2FC6F5">
      <w:pPr>
        <w:pStyle w:val="2"/>
        <w:spacing w:before="5" w:line="350" w:lineRule="auto"/>
        <w:ind w:left="111" w:right="212" w:firstLine="640" w:firstLineChars="200"/>
      </w:pPr>
      <w:r>
        <w:rPr>
          <w:rFonts w:hint="eastAsia" w:ascii="黑体" w:eastAsia="黑体"/>
        </w:rPr>
        <w:t>第</w:t>
      </w:r>
      <w:r>
        <w:rPr>
          <w:rFonts w:hint="eastAsia" w:ascii="黑体" w:eastAsia="黑体"/>
          <w:spacing w:val="-5"/>
        </w:rPr>
        <w:t>十</w:t>
      </w:r>
      <w:r>
        <w:rPr>
          <w:rFonts w:hint="eastAsia" w:ascii="黑体" w:eastAsia="黑体"/>
        </w:rPr>
        <w:t>条</w:t>
      </w:r>
      <w:r>
        <w:rPr>
          <w:rFonts w:hint="eastAsia" w:ascii="黑体" w:eastAsia="黑体"/>
        </w:rPr>
        <w:tab/>
      </w:r>
      <w:r>
        <w:rPr>
          <w:rFonts w:hint="eastAsia"/>
        </w:rPr>
        <w:t>新建、改建、扩建二次供水设施工程采用的设备、材料必须符合现行国家质量标准和卫生标准，应当使用食品级不锈钢管材等环保产品，禁止使用国家明令淘汰的铸铁管、镀锌管等材质，保证供水管网安全运行要求。</w:t>
      </w:r>
    </w:p>
    <w:p w14:paraId="162D4AC8">
      <w:pPr>
        <w:pStyle w:val="2"/>
        <w:spacing w:before="3" w:line="350" w:lineRule="auto"/>
        <w:ind w:left="111" w:right="214" w:firstLine="638"/>
        <w:jc w:val="both"/>
      </w:pPr>
      <w:r>
        <w:rPr>
          <w:rFonts w:hint="eastAsia" w:ascii="黑体" w:eastAsia="黑体"/>
          <w:spacing w:val="-14"/>
          <w:w w:val="105"/>
        </w:rPr>
        <w:t xml:space="preserve">第十一条 </w:t>
      </w:r>
      <w:r>
        <w:rPr>
          <w:spacing w:val="-4"/>
          <w:w w:val="105"/>
        </w:rPr>
        <w:t>二次供水设施工程竣工后</w:t>
      </w:r>
      <w:r>
        <w:rPr>
          <w:spacing w:val="-121"/>
          <w:w w:val="125"/>
        </w:rPr>
        <w:t>,</w:t>
      </w:r>
      <w:r>
        <w:rPr>
          <w:spacing w:val="-4"/>
          <w:w w:val="105"/>
        </w:rPr>
        <w:t>应统一纳入建设工程</w:t>
      </w:r>
      <w:r>
        <w:rPr>
          <w:spacing w:val="-12"/>
        </w:rPr>
        <w:t xml:space="preserve">进行综合验收,经验收合格并依法取得《卫生许可证》后,方可 </w:t>
      </w:r>
      <w:r>
        <w:rPr>
          <w:spacing w:val="-9"/>
          <w:w w:val="105"/>
        </w:rPr>
        <w:t>通水</w:t>
      </w:r>
      <w:r>
        <w:rPr>
          <w:w w:val="185"/>
        </w:rPr>
        <w:t>;</w:t>
      </w:r>
      <w:r>
        <w:rPr>
          <w:spacing w:val="-4"/>
          <w:w w:val="105"/>
        </w:rPr>
        <w:t>未经验收或验收不合格的</w:t>
      </w:r>
      <w:r>
        <w:rPr>
          <w:w w:val="185"/>
        </w:rPr>
        <w:t>,</w:t>
      </w:r>
      <w:r>
        <w:rPr>
          <w:spacing w:val="-3"/>
          <w:w w:val="105"/>
        </w:rPr>
        <w:t>不得交付使用。</w:t>
      </w:r>
    </w:p>
    <w:p w14:paraId="5A22E5EE">
      <w:pPr>
        <w:pStyle w:val="2"/>
        <w:spacing w:before="5" w:line="350" w:lineRule="auto"/>
        <w:ind w:left="111" w:right="208" w:firstLine="638"/>
        <w:jc w:val="both"/>
      </w:pPr>
      <w:r>
        <w:rPr>
          <w:rFonts w:hint="eastAsia" w:ascii="黑体" w:eastAsia="黑体"/>
          <w:spacing w:val="15"/>
        </w:rPr>
        <w:t xml:space="preserve">第十二条 </w:t>
      </w:r>
      <w:r>
        <w:rPr>
          <w:spacing w:val="2"/>
        </w:rPr>
        <w:t>已建成并投入运行的二次供水设施需要进行更</w:t>
      </w:r>
      <w:r>
        <w:rPr>
          <w:spacing w:val="-3"/>
        </w:rPr>
        <w:t>新改造的</w:t>
      </w:r>
      <w:r>
        <w:rPr>
          <w:spacing w:val="-116"/>
          <w:w w:val="180"/>
        </w:rPr>
        <w:t>,</w:t>
      </w:r>
      <w:r>
        <w:rPr>
          <w:spacing w:val="-7"/>
        </w:rPr>
        <w:t>产权所有人或物业服务企业可与公共供水企业签订改</w:t>
      </w:r>
      <w:r>
        <w:rPr>
          <w:spacing w:val="-12"/>
        </w:rPr>
        <w:t>造和管理权委托移交协议,按照相关技术规程要求进行改造。二</w:t>
      </w:r>
      <w:r>
        <w:rPr>
          <w:spacing w:val="-14"/>
        </w:rPr>
        <w:t>次供水设施在保修期内的,改造费用由建设单位负责;超过保修 期的,改造费用由所属地政府、产权所有人或物业服务企业多渠</w:t>
      </w:r>
      <w:r>
        <w:rPr>
          <w:spacing w:val="-13"/>
        </w:rPr>
        <w:t xml:space="preserve">道筹集,合理分担。需要使用房屋维修资金的,业主委员会或二 </w:t>
      </w:r>
      <w:r>
        <w:rPr>
          <w:spacing w:val="-6"/>
          <w:w w:val="105"/>
        </w:rPr>
        <w:t>次供水设施管理单位可依法申请使用房屋维修资金。</w:t>
      </w:r>
    </w:p>
    <w:p w14:paraId="0EE58A53">
      <w:pPr>
        <w:pStyle w:val="2"/>
        <w:spacing w:before="7" w:line="350" w:lineRule="auto"/>
        <w:ind w:left="113" w:right="102" w:firstLine="639"/>
      </w:pPr>
      <w:r>
        <w:rPr>
          <w:spacing w:val="-32"/>
        </w:rPr>
        <w:t xml:space="preserve">需进行二次供水改造的"无物业、无业主委员会、无管理单位" </w:t>
      </w:r>
      <w:r>
        <w:rPr>
          <w:spacing w:val="-15"/>
          <w:w w:val="105"/>
        </w:rPr>
        <w:t>居民小区</w:t>
      </w:r>
      <w:r>
        <w:rPr>
          <w:spacing w:val="-15"/>
          <w:w w:val="170"/>
        </w:rPr>
        <w:t>,</w:t>
      </w:r>
      <w:r>
        <w:rPr>
          <w:spacing w:val="-16"/>
          <w:w w:val="105"/>
        </w:rPr>
        <w:t>改造费用由市、区</w:t>
      </w:r>
      <w:r>
        <w:rPr>
          <w:spacing w:val="-15"/>
          <w:w w:val="105"/>
        </w:rPr>
        <w:t>（</w:t>
      </w:r>
      <w:r>
        <w:rPr>
          <w:spacing w:val="-13"/>
          <w:w w:val="105"/>
        </w:rPr>
        <w:t>旗县</w:t>
      </w:r>
      <w:r>
        <w:rPr>
          <w:spacing w:val="-15"/>
          <w:w w:val="170"/>
        </w:rPr>
        <w:t>)</w:t>
      </w:r>
      <w:r>
        <w:rPr>
          <w:spacing w:val="-16"/>
          <w:w w:val="105"/>
        </w:rPr>
        <w:t>两级人民政府统筹解决。</w:t>
      </w:r>
    </w:p>
    <w:p w14:paraId="0FC1F6B2">
      <w:pPr>
        <w:pStyle w:val="2"/>
        <w:spacing w:before="3" w:line="350" w:lineRule="auto"/>
        <w:ind w:left="113" w:right="265" w:firstLine="639"/>
        <w:jc w:val="both"/>
        <w:rPr>
          <w:rFonts w:hint="eastAsia"/>
          <w:spacing w:val="-10"/>
          <w:w w:val="105"/>
        </w:rPr>
      </w:pPr>
      <w:r>
        <w:rPr>
          <w:rFonts w:hint="eastAsia" w:ascii="黑体" w:eastAsia="黑体"/>
          <w:spacing w:val="-13"/>
          <w:w w:val="105"/>
        </w:rPr>
        <w:t xml:space="preserve">第十三条 </w:t>
      </w:r>
      <w:r>
        <w:rPr>
          <w:rFonts w:hint="eastAsia"/>
          <w:spacing w:val="-10"/>
          <w:w w:val="105"/>
        </w:rPr>
        <w:t>城镇二次供水设施的改造应当与“一户一表”改造和安全防范设施建设等统筹实施，加强物防、技防建设，推行封闭管理模式，切实提高安全供水保障能力。</w:t>
      </w:r>
    </w:p>
    <w:p w14:paraId="669B40B0">
      <w:pPr>
        <w:pStyle w:val="2"/>
        <w:spacing w:before="3" w:line="350" w:lineRule="auto"/>
        <w:ind w:left="113" w:right="265" w:firstLine="639"/>
        <w:jc w:val="both"/>
      </w:pPr>
      <w:r>
        <w:rPr>
          <w:rFonts w:hint="eastAsia"/>
          <w:spacing w:val="-10"/>
          <w:w w:val="105"/>
        </w:rPr>
        <w:t>管道直饮水二次供水设施改造，还应同步完善水质在线监测、循环供水等设施，确保供水水质稳定达标，管网全程循环、回水经消毒处理后再进入循环管道。</w:t>
      </w:r>
    </w:p>
    <w:p w14:paraId="66F6403D">
      <w:pPr>
        <w:pStyle w:val="2"/>
        <w:spacing w:before="2"/>
        <w:rPr>
          <w:sz w:val="47"/>
        </w:rPr>
      </w:pPr>
    </w:p>
    <w:p w14:paraId="27D26AC2">
      <w:pPr>
        <w:pStyle w:val="2"/>
        <w:tabs>
          <w:tab w:val="left" w:pos="1283"/>
        </w:tabs>
        <w:ind w:right="156"/>
        <w:jc w:val="center"/>
        <w:rPr>
          <w:rFonts w:hint="eastAsia" w:ascii="黑体" w:eastAsia="黑体"/>
        </w:rPr>
      </w:pPr>
      <w:r>
        <w:rPr>
          <w:rFonts w:hint="eastAsia" w:ascii="黑体" w:eastAsia="黑体"/>
        </w:rPr>
        <w:t>第</w:t>
      </w:r>
      <w:r>
        <w:rPr>
          <w:rFonts w:hint="eastAsia" w:ascii="黑体" w:eastAsia="黑体"/>
          <w:spacing w:val="-5"/>
        </w:rPr>
        <w:t>三</w:t>
      </w:r>
      <w:r>
        <w:rPr>
          <w:rFonts w:hint="eastAsia" w:ascii="黑体" w:eastAsia="黑体"/>
        </w:rPr>
        <w:t>章</w:t>
      </w:r>
      <w:r>
        <w:rPr>
          <w:rFonts w:hint="eastAsia" w:ascii="黑体" w:eastAsia="黑体"/>
        </w:rPr>
        <w:tab/>
      </w:r>
      <w:r>
        <w:rPr>
          <w:rFonts w:hint="eastAsia" w:ascii="黑体" w:eastAsia="黑体"/>
        </w:rPr>
        <w:t>运</w:t>
      </w:r>
      <w:r>
        <w:rPr>
          <w:rFonts w:hint="eastAsia" w:ascii="黑体" w:eastAsia="黑体"/>
          <w:spacing w:val="-5"/>
        </w:rPr>
        <w:t>行</w:t>
      </w:r>
      <w:r>
        <w:rPr>
          <w:rFonts w:hint="eastAsia" w:ascii="黑体" w:eastAsia="黑体"/>
        </w:rPr>
        <w:t>维护</w:t>
      </w:r>
    </w:p>
    <w:p w14:paraId="2AA465D5">
      <w:pPr>
        <w:pStyle w:val="2"/>
        <w:rPr>
          <w:rFonts w:ascii="黑体"/>
        </w:rPr>
      </w:pPr>
    </w:p>
    <w:p w14:paraId="43693BBF">
      <w:pPr>
        <w:pStyle w:val="2"/>
        <w:spacing w:before="9"/>
        <w:rPr>
          <w:rFonts w:ascii="黑体"/>
          <w:sz w:val="29"/>
        </w:rPr>
      </w:pPr>
    </w:p>
    <w:p w14:paraId="2341D533">
      <w:pPr>
        <w:pStyle w:val="2"/>
        <w:spacing w:before="4" w:line="350" w:lineRule="auto"/>
        <w:ind w:left="113" w:right="265" w:firstLine="639"/>
        <w:rPr>
          <w:rFonts w:hint="eastAsia"/>
          <w:spacing w:val="-13"/>
        </w:rPr>
      </w:pPr>
      <w:r>
        <w:rPr>
          <w:rFonts w:hint="eastAsia" w:ascii="黑体" w:eastAsia="黑体"/>
          <w:spacing w:val="8"/>
        </w:rPr>
        <w:t xml:space="preserve">第十四条 </w:t>
      </w:r>
      <w:r>
        <w:rPr>
          <w:rFonts w:hint="eastAsia"/>
          <w:spacing w:val="-13"/>
        </w:rPr>
        <w:t>城镇二次供水设施由产权单位、产权人负责管理和维护。鼓励和引导产权单位、产权人将二次供水设施委托公共供水企业实行专业化、一体化运行维护管理。</w:t>
      </w:r>
    </w:p>
    <w:p w14:paraId="4769C5B0">
      <w:pPr>
        <w:pStyle w:val="2"/>
        <w:spacing w:before="4" w:line="350" w:lineRule="auto"/>
        <w:ind w:left="113" w:right="265" w:firstLine="639"/>
      </w:pPr>
      <w:r>
        <w:rPr>
          <w:rFonts w:hint="eastAsia"/>
          <w:spacing w:val="-13"/>
        </w:rPr>
        <w:t>供水行政主管部门及卫健行政主管等部门应加强监管，确保二次供水安全。</w:t>
      </w:r>
    </w:p>
    <w:p w14:paraId="3ABE0E7B">
      <w:pPr>
        <w:pStyle w:val="2"/>
        <w:spacing w:before="3" w:line="350" w:lineRule="auto"/>
        <w:ind w:left="113" w:right="264" w:firstLine="639"/>
        <w:jc w:val="both"/>
      </w:pPr>
      <w:r>
        <w:rPr>
          <w:rFonts w:hint="eastAsia" w:ascii="黑体" w:eastAsia="黑体"/>
          <w:spacing w:val="-14"/>
          <w:w w:val="105"/>
        </w:rPr>
        <w:t xml:space="preserve">第十五条 </w:t>
      </w:r>
      <w:r>
        <w:rPr>
          <w:spacing w:val="-5"/>
          <w:w w:val="105"/>
        </w:rPr>
        <w:t>委托公共供水企业维护和管理的</w:t>
      </w:r>
      <w:r>
        <w:rPr>
          <w:spacing w:val="-121"/>
          <w:w w:val="130"/>
        </w:rPr>
        <w:t>,</w:t>
      </w:r>
      <w:r>
        <w:rPr>
          <w:spacing w:val="-3"/>
          <w:w w:val="105"/>
        </w:rPr>
        <w:t>产权所有人或</w:t>
      </w:r>
      <w:r>
        <w:rPr>
          <w:spacing w:val="-13"/>
        </w:rPr>
        <w:t>物业服务企业应向公共供水企业提出申请,经公共供水企业验收</w:t>
      </w:r>
      <w:r>
        <w:rPr>
          <w:spacing w:val="-14"/>
        </w:rPr>
        <w:t xml:space="preserve">合格后签订委托运行维护管理协议;验收不合格的,由产权所有 </w:t>
      </w:r>
      <w:r>
        <w:rPr>
          <w:spacing w:val="-13"/>
        </w:rPr>
        <w:t>人或物业服务企业委托公共供水企业进行改造,改造验收合格后</w:t>
      </w:r>
      <w:r>
        <w:t>签订委托运行维护管理协议等。</w:t>
      </w:r>
    </w:p>
    <w:p w14:paraId="74EFFD09">
      <w:pPr>
        <w:pStyle w:val="2"/>
        <w:spacing w:before="7" w:line="350" w:lineRule="auto"/>
        <w:ind w:left="111" w:right="112" w:firstLine="638"/>
        <w:rPr>
          <w:rFonts w:hint="eastAsia"/>
          <w:spacing w:val="-5"/>
          <w:w w:val="105"/>
        </w:rPr>
      </w:pPr>
      <w:r>
        <w:rPr>
          <w:rFonts w:hint="eastAsia" w:ascii="黑体" w:eastAsia="黑体"/>
          <w:spacing w:val="-14"/>
          <w:w w:val="105"/>
        </w:rPr>
        <w:t xml:space="preserve">第十六条 </w:t>
      </w:r>
      <w:r>
        <w:rPr>
          <w:rFonts w:hint="eastAsia"/>
          <w:spacing w:val="-5"/>
          <w:w w:val="105"/>
        </w:rPr>
        <w:t>二次供水设施移交给供水企业的，由供水企业负责二次供水设施运行维护管理。</w:t>
      </w:r>
    </w:p>
    <w:p w14:paraId="7672ADFD">
      <w:pPr>
        <w:pStyle w:val="2"/>
        <w:spacing w:before="7" w:line="350" w:lineRule="auto"/>
        <w:ind w:left="111" w:right="112" w:firstLine="638"/>
        <w:rPr>
          <w:rFonts w:hint="eastAsia"/>
          <w:spacing w:val="-5"/>
          <w:w w:val="105"/>
        </w:rPr>
      </w:pPr>
      <w:r>
        <w:rPr>
          <w:rFonts w:hint="eastAsia"/>
          <w:spacing w:val="-5"/>
          <w:w w:val="105"/>
        </w:rPr>
        <w:t>二次供水设施未移交给供水企业的，由产权人或者其委托的物业服务企业负责运行维护管理。</w:t>
      </w:r>
    </w:p>
    <w:p w14:paraId="7BD46315">
      <w:pPr>
        <w:pStyle w:val="2"/>
        <w:spacing w:before="7" w:line="350" w:lineRule="auto"/>
        <w:ind w:left="111" w:right="112" w:firstLine="638"/>
        <w:rPr>
          <w:rFonts w:hint="eastAsia"/>
          <w:spacing w:val="-5"/>
          <w:w w:val="105"/>
        </w:rPr>
      </w:pPr>
      <w:r>
        <w:rPr>
          <w:rFonts w:hint="eastAsia"/>
          <w:spacing w:val="-5"/>
          <w:w w:val="105"/>
        </w:rPr>
        <w:t>由公共供水企业负责运行维护管理的居民小区的二次供水管理设施，其合理成本应纳入供水企业运营成本。价格主管部门在调整城镇供水价格时，应统筹考虑二次供水运行维护成本。在价格调整到位前的过渡期内，由供水行政主管部门按收支平衡、略有结余的原则核算单体泵房运营成本，确定运行维护管理费用。</w:t>
      </w:r>
    </w:p>
    <w:p w14:paraId="01477300">
      <w:pPr>
        <w:pStyle w:val="2"/>
        <w:spacing w:before="7" w:line="350" w:lineRule="auto"/>
        <w:ind w:left="111" w:right="112" w:firstLine="638"/>
        <w:rPr>
          <w:rFonts w:hint="eastAsia"/>
          <w:spacing w:val="-5"/>
          <w:w w:val="105"/>
        </w:rPr>
      </w:pPr>
      <w:r>
        <w:rPr>
          <w:rFonts w:hint="eastAsia"/>
          <w:spacing w:val="-5"/>
          <w:w w:val="105"/>
        </w:rPr>
        <w:t>由公共供水企业负责运行维护管理的非居民二次供水管理设施，其运行维护费用可通过委托合同约定，由产权人（或物业服务企业）向公共供水企业支付。</w:t>
      </w:r>
    </w:p>
    <w:p w14:paraId="0A03836B">
      <w:pPr>
        <w:pStyle w:val="2"/>
        <w:spacing w:before="7" w:line="350" w:lineRule="auto"/>
        <w:ind w:left="111" w:right="112" w:firstLine="638"/>
        <w:rPr>
          <w:spacing w:val="-5"/>
          <w:w w:val="105"/>
        </w:rPr>
      </w:pPr>
      <w:r>
        <w:rPr>
          <w:rFonts w:hint="eastAsia"/>
          <w:spacing w:val="-5"/>
          <w:w w:val="105"/>
        </w:rPr>
        <w:t>“无物业、无业主委员会、无管理单位”居民小区的运行维护管理费用由市、区(旗县)两级人民政府统筹解决。</w:t>
      </w:r>
    </w:p>
    <w:p w14:paraId="0121E855">
      <w:pPr>
        <w:pStyle w:val="2"/>
        <w:spacing w:before="3" w:line="350" w:lineRule="auto"/>
        <w:ind w:left="111" w:right="114" w:firstLine="638"/>
        <w:jc w:val="both"/>
      </w:pPr>
      <w:r>
        <w:rPr>
          <w:rFonts w:hint="eastAsia" w:ascii="黑体" w:eastAsia="黑体"/>
          <w:spacing w:val="15"/>
        </w:rPr>
        <w:t xml:space="preserve">第十七条 </w:t>
      </w:r>
      <w:r>
        <w:rPr>
          <w:rFonts w:hint="eastAsia"/>
          <w:spacing w:val="2"/>
        </w:rPr>
        <w:t>二次供水设施移交公共供水企业运行维护和管理的，开发建设单位、产权所有人或物业服务企业应与公共供水企业签订书面委托合同，内容包括:二次供水服务具体事项、服务范围、服务质量、治安防范措施、服务费用、双方的权利与义务、合同期限、违约责任等内容。</w:t>
      </w:r>
    </w:p>
    <w:p w14:paraId="474D1590">
      <w:pPr>
        <w:pStyle w:val="2"/>
        <w:spacing w:before="7" w:line="350" w:lineRule="auto"/>
        <w:ind w:left="111" w:right="114" w:firstLine="638"/>
        <w:jc w:val="both"/>
      </w:pPr>
      <w:r>
        <w:rPr>
          <w:rFonts w:hint="eastAsia" w:ascii="黑体" w:eastAsia="黑体"/>
          <w:spacing w:val="7"/>
        </w:rPr>
        <w:t xml:space="preserve">第十八条 </w:t>
      </w:r>
      <w:r>
        <w:rPr>
          <w:spacing w:val="-12"/>
        </w:rPr>
        <w:t>二次供水设施管理单位必须制定管理制度、操作</w:t>
      </w:r>
      <w:r>
        <w:rPr>
          <w:spacing w:val="-13"/>
        </w:rPr>
        <w:t xml:space="preserve">规程和突发事件应急预案,建立管理档案,加强二次供水设施的 日常巡查、维护和保养,保证设施完好。除突发事件外,不得擅 </w:t>
      </w:r>
      <w:r>
        <w:rPr>
          <w:spacing w:val="-6"/>
        </w:rPr>
        <w:t>自停止供水,水质、水压、水量必须符合国家有关技术标准。</w:t>
      </w:r>
    </w:p>
    <w:p w14:paraId="591E0E82">
      <w:pPr>
        <w:pStyle w:val="2"/>
        <w:spacing w:before="6" w:line="350" w:lineRule="auto"/>
        <w:ind w:left="111" w:right="108" w:firstLine="638"/>
        <w:jc w:val="both"/>
      </w:pPr>
      <w:r>
        <w:rPr>
          <w:rFonts w:hint="eastAsia" w:ascii="黑体" w:eastAsia="黑体"/>
          <w:spacing w:val="-15"/>
          <w:w w:val="105"/>
        </w:rPr>
        <w:t xml:space="preserve">第十九条 </w:t>
      </w:r>
      <w:r>
        <w:rPr>
          <w:spacing w:val="-7"/>
          <w:w w:val="105"/>
        </w:rPr>
        <w:t>二次供水设施运行管理人员应经过专业培训</w:t>
      </w:r>
      <w:r>
        <w:rPr>
          <w:spacing w:val="-116"/>
          <w:w w:val="130"/>
        </w:rPr>
        <w:t>,</w:t>
      </w:r>
      <w:r>
        <w:rPr>
          <w:w w:val="105"/>
        </w:rPr>
        <w:t>具</w:t>
      </w:r>
      <w:r>
        <w:rPr>
          <w:spacing w:val="-13"/>
        </w:rPr>
        <w:t xml:space="preserve">备相应专业技能,熟悉供水设施的技术性能和运行要求,严格遵 </w:t>
      </w:r>
      <w:r>
        <w:rPr>
          <w:spacing w:val="-14"/>
        </w:rPr>
        <w:t>守操作规程。直接从事二次供水设施运行维护人员须进行健康检</w:t>
      </w:r>
      <w:r>
        <w:rPr>
          <w:w w:val="105"/>
        </w:rPr>
        <w:t>查</w:t>
      </w:r>
      <w:r>
        <w:rPr>
          <w:spacing w:val="-6"/>
          <w:w w:val="185"/>
        </w:rPr>
        <w:t>,</w:t>
      </w:r>
      <w:r>
        <w:rPr>
          <w:spacing w:val="-4"/>
          <w:w w:val="105"/>
        </w:rPr>
        <w:t>检查合格后方可上岗。</w:t>
      </w:r>
    </w:p>
    <w:p w14:paraId="3A95F3ED">
      <w:pPr>
        <w:pStyle w:val="2"/>
        <w:spacing w:before="4" w:line="350" w:lineRule="auto"/>
        <w:ind w:left="113" w:right="281" w:firstLine="639"/>
        <w:jc w:val="both"/>
        <w:rPr>
          <w:rFonts w:hint="eastAsia"/>
          <w:spacing w:val="-5"/>
          <w:w w:val="105"/>
        </w:rPr>
      </w:pPr>
      <w:r>
        <w:rPr>
          <w:rFonts w:hint="eastAsia" w:ascii="黑体" w:eastAsia="黑体"/>
        </w:rPr>
        <w:t xml:space="preserve">第二十条 </w:t>
      </w:r>
      <w:r>
        <w:rPr>
          <w:rFonts w:hint="eastAsia"/>
          <w:spacing w:val="-5"/>
          <w:w w:val="105"/>
        </w:rPr>
        <w:t>管理单位应当根据水质情况至少每年对二次供水设施进行1次全面清洗消毒。定期对水质进行检测，检测结果应当及时向用户公布，并主动接受供水行政主管部门和卫健行政主管部门的定期监督检测。</w:t>
      </w:r>
    </w:p>
    <w:p w14:paraId="1AEE89B9">
      <w:pPr>
        <w:pStyle w:val="2"/>
        <w:spacing w:before="4" w:line="350" w:lineRule="auto"/>
        <w:ind w:left="113" w:right="281" w:firstLine="639"/>
        <w:jc w:val="both"/>
        <w:rPr>
          <w:rFonts w:hint="eastAsia"/>
          <w:spacing w:val="-5"/>
          <w:w w:val="105"/>
        </w:rPr>
      </w:pPr>
      <w:r>
        <w:rPr>
          <w:rFonts w:hint="eastAsia"/>
          <w:spacing w:val="-5"/>
          <w:w w:val="105"/>
        </w:rPr>
        <w:t>不具备自行检测能力的管理单位，应当委托具有实验室计量认证资质的水质检测机构进行检测。二次供水设施清洗消毒后，经卫生行政主管部门水质抽样检测合格后方可供水。</w:t>
      </w:r>
    </w:p>
    <w:p w14:paraId="5EFA7675">
      <w:pPr>
        <w:pStyle w:val="2"/>
        <w:spacing w:before="4" w:line="350" w:lineRule="auto"/>
        <w:ind w:left="113" w:right="281" w:firstLine="639"/>
        <w:jc w:val="both"/>
      </w:pPr>
      <w:r>
        <w:rPr>
          <w:rFonts w:hint="eastAsia" w:ascii="黑体" w:eastAsia="黑体"/>
          <w:spacing w:val="-12"/>
          <w:w w:val="105"/>
        </w:rPr>
        <w:t xml:space="preserve">第二十一条 </w:t>
      </w:r>
      <w:r>
        <w:rPr>
          <w:spacing w:val="-5"/>
          <w:w w:val="105"/>
        </w:rPr>
        <w:t>当二次供水设施发生故障时</w:t>
      </w:r>
      <w:r>
        <w:rPr>
          <w:spacing w:val="-116"/>
          <w:w w:val="130"/>
        </w:rPr>
        <w:t>,</w:t>
      </w:r>
      <w:r>
        <w:rPr>
          <w:spacing w:val="-4"/>
          <w:w w:val="105"/>
        </w:rPr>
        <w:t>管理单位应当及时抢修</w:t>
      </w:r>
      <w:r>
        <w:rPr>
          <w:spacing w:val="-4"/>
          <w:w w:val="155"/>
        </w:rPr>
        <w:t>,</w:t>
      </w:r>
      <w:r>
        <w:rPr>
          <w:spacing w:val="-4"/>
          <w:w w:val="105"/>
        </w:rPr>
        <w:t>尽快恢复供水</w:t>
      </w:r>
      <w:r>
        <w:rPr>
          <w:spacing w:val="-4"/>
          <w:w w:val="155"/>
        </w:rPr>
        <w:t>,</w:t>
      </w:r>
      <w:r>
        <w:rPr>
          <w:spacing w:val="-50"/>
          <w:w w:val="105"/>
        </w:rPr>
        <w:t xml:space="preserve">超过 </w:t>
      </w:r>
      <w:r>
        <w:rPr>
          <w:rFonts w:ascii="Times New Roman" w:eastAsia="Times New Roman"/>
          <w:w w:val="105"/>
        </w:rPr>
        <w:t>48</w:t>
      </w:r>
      <w:r>
        <w:rPr>
          <w:rFonts w:ascii="Times New Roman" w:eastAsia="Times New Roman"/>
          <w:spacing w:val="-57"/>
          <w:w w:val="105"/>
        </w:rPr>
        <w:t xml:space="preserve"> </w:t>
      </w:r>
      <w:r>
        <w:rPr>
          <w:spacing w:val="-1"/>
          <w:w w:val="105"/>
        </w:rPr>
        <w:t>小时未能恢复供水的</w:t>
      </w:r>
      <w:r>
        <w:rPr>
          <w:w w:val="155"/>
        </w:rPr>
        <w:t>,</w:t>
      </w:r>
      <w:r>
        <w:rPr>
          <w:w w:val="105"/>
        </w:rPr>
        <w:t>应当采</w:t>
      </w:r>
      <w:r>
        <w:rPr>
          <w:spacing w:val="-14"/>
        </w:rPr>
        <w:t>取临时供水措施。因工程施工、设备维修等原因需要停水或者降</w:t>
      </w:r>
      <w:r>
        <w:rPr>
          <w:spacing w:val="2"/>
        </w:rPr>
        <w:t xml:space="preserve">压供水的,应当提前 </w:t>
      </w:r>
      <w:r>
        <w:rPr>
          <w:rFonts w:ascii="Times New Roman" w:eastAsia="Times New Roman"/>
        </w:rPr>
        <w:t xml:space="preserve">24 </w:t>
      </w:r>
      <w:r>
        <w:t>小时通知用户。因设备故障或者紧急抢</w:t>
      </w:r>
      <w:r>
        <w:rPr>
          <w:spacing w:val="-4"/>
          <w:w w:val="105"/>
        </w:rPr>
        <w:t>修不能提前通知的</w:t>
      </w:r>
      <w:r>
        <w:rPr>
          <w:w w:val="180"/>
        </w:rPr>
        <w:t>,</w:t>
      </w:r>
      <w:r>
        <w:rPr>
          <w:spacing w:val="-5"/>
          <w:w w:val="105"/>
        </w:rPr>
        <w:t>应当在抢修的同时通知用户。</w:t>
      </w:r>
    </w:p>
    <w:p w14:paraId="01253AD0">
      <w:pPr>
        <w:pStyle w:val="2"/>
        <w:spacing w:before="8" w:line="350" w:lineRule="auto"/>
        <w:ind w:left="113" w:right="286" w:firstLine="639"/>
        <w:jc w:val="both"/>
      </w:pPr>
      <w:r>
        <w:rPr>
          <w:rFonts w:hint="eastAsia" w:ascii="黑体" w:eastAsia="黑体"/>
          <w:spacing w:val="-12"/>
          <w:w w:val="105"/>
        </w:rPr>
        <w:t xml:space="preserve">第二十二条 </w:t>
      </w:r>
      <w:r>
        <w:rPr>
          <w:spacing w:val="-4"/>
          <w:w w:val="105"/>
        </w:rPr>
        <w:t>二次供水水质出现异常</w:t>
      </w:r>
      <w:r>
        <w:rPr>
          <w:spacing w:val="-121"/>
          <w:w w:val="130"/>
        </w:rPr>
        <w:t>,</w:t>
      </w:r>
      <w:r>
        <w:rPr>
          <w:spacing w:val="-4"/>
          <w:w w:val="105"/>
        </w:rPr>
        <w:t>管理单位必须立即暂</w:t>
      </w:r>
      <w:r>
        <w:rPr>
          <w:spacing w:val="-13"/>
        </w:rPr>
        <w:t>停使用并及时发现和消除隐患,同时报告供水行政主管部门、卫</w:t>
      </w:r>
      <w:r>
        <w:rPr>
          <w:spacing w:val="-6"/>
          <w:w w:val="105"/>
        </w:rPr>
        <w:t>健行政主管部门和公共供水企业</w:t>
      </w:r>
      <w:r>
        <w:rPr>
          <w:spacing w:val="-39"/>
          <w:w w:val="130"/>
        </w:rPr>
        <w:t>,</w:t>
      </w:r>
      <w:r>
        <w:rPr>
          <w:spacing w:val="-3"/>
          <w:w w:val="105"/>
        </w:rPr>
        <w:t>共同查清原因</w:t>
      </w:r>
      <w:r>
        <w:rPr>
          <w:spacing w:val="-44"/>
          <w:w w:val="130"/>
        </w:rPr>
        <w:t>,</w:t>
      </w:r>
      <w:r>
        <w:rPr>
          <w:spacing w:val="-2"/>
          <w:w w:val="105"/>
        </w:rPr>
        <w:t>采取措施</w:t>
      </w:r>
      <w:r>
        <w:rPr>
          <w:spacing w:val="-39"/>
          <w:w w:val="130"/>
        </w:rPr>
        <w:t>,</w:t>
      </w:r>
      <w:r>
        <w:rPr>
          <w:spacing w:val="-13"/>
          <w:w w:val="105"/>
        </w:rPr>
        <w:t>防</w:t>
      </w:r>
      <w:r>
        <w:rPr>
          <w:spacing w:val="-3"/>
          <w:w w:val="105"/>
        </w:rPr>
        <w:t>止污染扩大</w:t>
      </w:r>
      <w:r>
        <w:rPr>
          <w:w w:val="185"/>
        </w:rPr>
        <w:t>,</w:t>
      </w:r>
      <w:r>
        <w:rPr>
          <w:spacing w:val="-4"/>
          <w:w w:val="105"/>
        </w:rPr>
        <w:t>保证居民饮用水卫生安全。</w:t>
      </w:r>
    </w:p>
    <w:p w14:paraId="4FD563F8">
      <w:pPr>
        <w:pStyle w:val="2"/>
        <w:spacing w:before="6" w:line="350" w:lineRule="auto"/>
        <w:ind w:left="113" w:right="285" w:firstLine="639"/>
        <w:jc w:val="both"/>
        <w:rPr>
          <w:spacing w:val="-5"/>
        </w:rPr>
      </w:pPr>
      <w:r>
        <w:rPr>
          <w:rFonts w:hint="eastAsia" w:ascii="黑体" w:eastAsia="黑体"/>
          <w:spacing w:val="6"/>
        </w:rPr>
        <w:t xml:space="preserve">第二十三条 </w:t>
      </w:r>
      <w:r>
        <w:rPr>
          <w:spacing w:val="-14"/>
        </w:rPr>
        <w:t>居民小区业主、物业服务企业应当对二次供水</w:t>
      </w:r>
      <w:r>
        <w:rPr>
          <w:spacing w:val="-11"/>
        </w:rPr>
        <w:t>设施改造、运行维护、抢修工作予以配合</w:t>
      </w:r>
      <w:r>
        <w:rPr>
          <w:spacing w:val="-44"/>
          <w:w w:val="185"/>
        </w:rPr>
        <w:t>,</w:t>
      </w:r>
      <w:r>
        <w:rPr>
          <w:spacing w:val="-4"/>
        </w:rPr>
        <w:t>所属地政府部门应积</w:t>
      </w:r>
      <w:r>
        <w:rPr>
          <w:spacing w:val="-5"/>
        </w:rPr>
        <w:t>极做好相关协调工作。</w:t>
      </w:r>
    </w:p>
    <w:p w14:paraId="35839C97">
      <w:pPr>
        <w:pStyle w:val="2"/>
        <w:spacing w:before="6" w:line="350" w:lineRule="auto"/>
        <w:ind w:left="113" w:right="285" w:firstLine="639"/>
        <w:jc w:val="both"/>
        <w:rPr>
          <w:spacing w:val="-5"/>
        </w:rPr>
      </w:pPr>
    </w:p>
    <w:p w14:paraId="38925739">
      <w:pPr>
        <w:pStyle w:val="2"/>
        <w:tabs>
          <w:tab w:val="left" w:pos="1283"/>
        </w:tabs>
        <w:ind w:right="176"/>
        <w:jc w:val="center"/>
        <w:rPr>
          <w:rFonts w:hint="eastAsia" w:ascii="黑体" w:eastAsia="黑体"/>
        </w:rPr>
      </w:pPr>
      <w:r>
        <w:rPr>
          <w:rFonts w:hint="eastAsia" w:ascii="黑体" w:eastAsia="黑体"/>
        </w:rPr>
        <w:t>第</w:t>
      </w:r>
      <w:r>
        <w:rPr>
          <w:rFonts w:hint="eastAsia" w:ascii="黑体" w:eastAsia="黑体"/>
          <w:spacing w:val="-5"/>
        </w:rPr>
        <w:t>四</w:t>
      </w:r>
      <w:r>
        <w:rPr>
          <w:rFonts w:hint="eastAsia" w:ascii="黑体" w:eastAsia="黑体"/>
        </w:rPr>
        <w:t>章</w:t>
      </w:r>
      <w:r>
        <w:rPr>
          <w:rFonts w:hint="eastAsia" w:ascii="黑体" w:eastAsia="黑体"/>
        </w:rPr>
        <w:tab/>
      </w:r>
      <w:r>
        <w:rPr>
          <w:rFonts w:hint="eastAsia" w:ascii="黑体" w:eastAsia="黑体"/>
        </w:rPr>
        <w:t>监</w:t>
      </w:r>
      <w:r>
        <w:rPr>
          <w:rFonts w:hint="eastAsia" w:ascii="黑体" w:eastAsia="黑体"/>
          <w:spacing w:val="-5"/>
        </w:rPr>
        <w:t>督</w:t>
      </w:r>
      <w:r>
        <w:rPr>
          <w:rFonts w:hint="eastAsia" w:ascii="黑体" w:eastAsia="黑体"/>
        </w:rPr>
        <w:t>管理</w:t>
      </w:r>
    </w:p>
    <w:p w14:paraId="0BB2AECE">
      <w:pPr>
        <w:pStyle w:val="2"/>
        <w:rPr>
          <w:rFonts w:ascii="黑体"/>
        </w:rPr>
      </w:pPr>
    </w:p>
    <w:p w14:paraId="32A3DDF1">
      <w:pPr>
        <w:pStyle w:val="2"/>
        <w:spacing w:before="8"/>
        <w:rPr>
          <w:rFonts w:ascii="黑体"/>
          <w:sz w:val="29"/>
        </w:rPr>
      </w:pPr>
    </w:p>
    <w:p w14:paraId="7E78673D">
      <w:pPr>
        <w:pStyle w:val="2"/>
        <w:spacing w:before="6" w:line="350" w:lineRule="auto"/>
        <w:ind w:left="113" w:right="285" w:firstLine="639"/>
        <w:jc w:val="both"/>
        <w:rPr>
          <w:spacing w:val="-5"/>
        </w:rPr>
      </w:pPr>
      <w:r>
        <w:rPr>
          <w:rFonts w:hint="eastAsia" w:ascii="黑体" w:eastAsia="黑体"/>
          <w:spacing w:val="3"/>
        </w:rPr>
        <w:t>第</w:t>
      </w:r>
      <w:r>
        <w:rPr>
          <w:rFonts w:hint="eastAsia" w:ascii="黑体" w:eastAsia="黑体"/>
          <w:spacing w:val="9"/>
        </w:rPr>
        <w:t>二</w:t>
      </w:r>
      <w:r>
        <w:rPr>
          <w:rFonts w:hint="eastAsia" w:ascii="黑体" w:eastAsia="黑体"/>
          <w:spacing w:val="3"/>
        </w:rPr>
        <w:t>十</w:t>
      </w:r>
      <w:r>
        <w:rPr>
          <w:rFonts w:hint="eastAsia" w:ascii="黑体" w:eastAsia="黑体"/>
          <w:spacing w:val="4"/>
        </w:rPr>
        <w:t>四</w:t>
      </w:r>
      <w:r>
        <w:rPr>
          <w:rFonts w:hint="eastAsia" w:ascii="黑体" w:eastAsia="黑体"/>
        </w:rPr>
        <w:t>条</w:t>
      </w:r>
      <w:r>
        <w:rPr>
          <w:rFonts w:hint="eastAsia" w:ascii="黑体" w:eastAsia="黑体"/>
        </w:rPr>
        <w:tab/>
      </w:r>
      <w:r>
        <w:rPr>
          <w:spacing w:val="-5"/>
        </w:rPr>
        <w:t>任何单位或个人发现二次供水水质有异常变</w:t>
      </w:r>
    </w:p>
    <w:p w14:paraId="12406BD4">
      <w:pPr>
        <w:pStyle w:val="2"/>
        <w:spacing w:before="6" w:line="350" w:lineRule="auto"/>
        <w:ind w:right="285"/>
        <w:jc w:val="both"/>
        <w:rPr>
          <w:spacing w:val="-5"/>
        </w:rPr>
      </w:pPr>
      <w:r>
        <w:rPr>
          <w:spacing w:val="-5"/>
        </w:rPr>
        <w:t>化,应当及时向二次供水设施管理单位或供水行政主管部门和卫健行政主管部门报告,供水行政主管部门应及时组织相关部门和公共供水企业立即查清原因,采取措施,确保二次供水安全。</w:t>
      </w:r>
    </w:p>
    <w:p w14:paraId="41E8552C">
      <w:pPr>
        <w:pStyle w:val="2"/>
        <w:tabs>
          <w:tab w:val="left" w:pos="2675"/>
        </w:tabs>
        <w:spacing w:before="4" w:line="350" w:lineRule="auto"/>
        <w:ind w:left="113" w:right="280" w:firstLine="639"/>
      </w:pPr>
      <w:r>
        <w:rPr>
          <w:rFonts w:hint="eastAsia" w:ascii="黑体" w:eastAsia="黑体"/>
        </w:rPr>
        <w:t>第</w:t>
      </w:r>
      <w:r>
        <w:rPr>
          <w:rFonts w:hint="eastAsia" w:ascii="黑体" w:eastAsia="黑体"/>
          <w:spacing w:val="-5"/>
        </w:rPr>
        <w:t>二</w:t>
      </w:r>
      <w:r>
        <w:rPr>
          <w:rFonts w:hint="eastAsia" w:ascii="黑体" w:eastAsia="黑体"/>
        </w:rPr>
        <w:t>十五条</w:t>
      </w:r>
      <w:r>
        <w:rPr>
          <w:rFonts w:hint="eastAsia" w:ascii="黑体" w:eastAsia="黑体"/>
        </w:rPr>
        <w:tab/>
      </w:r>
      <w:r>
        <w:t>供</w:t>
      </w:r>
      <w:r>
        <w:rPr>
          <w:spacing w:val="-6"/>
        </w:rPr>
        <w:t>水</w:t>
      </w:r>
      <w:r>
        <w:rPr>
          <w:spacing w:val="-116"/>
        </w:rPr>
        <w:t>、</w:t>
      </w:r>
      <w:r>
        <w:t>卫</w:t>
      </w:r>
      <w:r>
        <w:rPr>
          <w:spacing w:val="-5"/>
        </w:rPr>
        <w:t>健</w:t>
      </w:r>
      <w:r>
        <w:t>行政</w:t>
      </w:r>
      <w:r>
        <w:rPr>
          <w:spacing w:val="-5"/>
        </w:rPr>
        <w:t>主</w:t>
      </w:r>
      <w:r>
        <w:t>管部</w:t>
      </w:r>
      <w:r>
        <w:rPr>
          <w:spacing w:val="-6"/>
        </w:rPr>
        <w:t>门</w:t>
      </w:r>
      <w:r>
        <w:t>应当</w:t>
      </w:r>
      <w:r>
        <w:rPr>
          <w:spacing w:val="-5"/>
        </w:rPr>
        <w:t>按</w:t>
      </w:r>
      <w:r>
        <w:t>照各</w:t>
      </w:r>
      <w:r>
        <w:rPr>
          <w:spacing w:val="-5"/>
        </w:rPr>
        <w:t>自</w:t>
      </w:r>
      <w:r>
        <w:t>职责</w:t>
      </w:r>
      <w:r>
        <w:rPr>
          <w:spacing w:val="-14"/>
        </w:rPr>
        <w:t>对</w:t>
      </w:r>
      <w:r>
        <w:t>二</w:t>
      </w:r>
      <w:r>
        <w:rPr>
          <w:spacing w:val="-5"/>
        </w:rPr>
        <w:t>次</w:t>
      </w:r>
      <w:r>
        <w:t>供水</w:t>
      </w:r>
      <w:r>
        <w:rPr>
          <w:spacing w:val="-5"/>
        </w:rPr>
        <w:t>设</w:t>
      </w:r>
      <w:r>
        <w:t>施运</w:t>
      </w:r>
      <w:r>
        <w:rPr>
          <w:spacing w:val="-6"/>
        </w:rPr>
        <w:t>行</w:t>
      </w:r>
      <w:r>
        <w:t>管理</w:t>
      </w:r>
      <w:r>
        <w:rPr>
          <w:spacing w:val="-5"/>
        </w:rPr>
        <w:t>单</w:t>
      </w:r>
      <w:r>
        <w:t>位的</w:t>
      </w:r>
      <w:r>
        <w:rPr>
          <w:spacing w:val="-5"/>
        </w:rPr>
        <w:t>下</w:t>
      </w:r>
      <w:r>
        <w:t>列事</w:t>
      </w:r>
      <w:r>
        <w:rPr>
          <w:spacing w:val="-6"/>
        </w:rPr>
        <w:t>项</w:t>
      </w:r>
      <w:r>
        <w:t>进行</w:t>
      </w:r>
      <w:r>
        <w:rPr>
          <w:spacing w:val="-5"/>
        </w:rPr>
        <w:t>监</w:t>
      </w:r>
      <w:r>
        <w:t>督检</w:t>
      </w:r>
      <w:r>
        <w:rPr>
          <w:spacing w:val="-8"/>
        </w:rPr>
        <w:t>查</w:t>
      </w:r>
      <w:r>
        <w:rPr>
          <w:w w:val="185"/>
        </w:rPr>
        <w:t>:</w:t>
      </w:r>
    </w:p>
    <w:p w14:paraId="3097E9A4">
      <w:pPr>
        <w:pStyle w:val="2"/>
        <w:spacing w:before="3"/>
        <w:ind w:left="752"/>
      </w:pPr>
      <w:r>
        <w:rPr>
          <w:rFonts w:hint="eastAsia"/>
          <w:w w:val="110"/>
          <w:lang w:eastAsia="zh-CN"/>
        </w:rPr>
        <w:t>（一）</w:t>
      </w:r>
      <w:r>
        <w:rPr>
          <w:w w:val="110"/>
        </w:rPr>
        <w:t>执行国家有关技术规程、标准的情况</w:t>
      </w:r>
      <w:r>
        <w:rPr>
          <w:w w:val="185"/>
        </w:rPr>
        <w:t>;</w:t>
      </w:r>
    </w:p>
    <w:p w14:paraId="3EEB36C6">
      <w:pPr>
        <w:pStyle w:val="2"/>
        <w:spacing w:before="190" w:line="350" w:lineRule="auto"/>
        <w:ind w:left="113" w:right="278" w:firstLine="639"/>
      </w:pPr>
      <w:r>
        <w:t>（</w:t>
      </w:r>
      <w:r>
        <w:rPr>
          <w:spacing w:val="-13"/>
        </w:rPr>
        <w:t>二</w:t>
      </w:r>
      <w:r>
        <w:rPr>
          <w:rFonts w:hint="eastAsia"/>
          <w:spacing w:val="-13"/>
          <w:lang w:eastAsia="zh-CN"/>
        </w:rPr>
        <w:t>）</w:t>
      </w:r>
      <w:r>
        <w:rPr>
          <w:spacing w:val="-13"/>
        </w:rPr>
        <w:t>建立健全并执行二次供水设施维护和水质管理制度的</w:t>
      </w:r>
      <w:r>
        <w:rPr>
          <w:spacing w:val="-3"/>
          <w:w w:val="105"/>
        </w:rPr>
        <w:t>情况</w:t>
      </w:r>
      <w:r>
        <w:rPr>
          <w:w w:val="185"/>
        </w:rPr>
        <w:t>,</w:t>
      </w:r>
      <w:r>
        <w:rPr>
          <w:spacing w:val="-6"/>
          <w:w w:val="105"/>
        </w:rPr>
        <w:t>对二次供水水质检测及设施清洗、消毒等情况</w:t>
      </w:r>
      <w:r>
        <w:rPr>
          <w:w w:val="185"/>
        </w:rPr>
        <w:t>;</w:t>
      </w:r>
    </w:p>
    <w:p w14:paraId="43B049BC">
      <w:pPr>
        <w:pStyle w:val="2"/>
        <w:spacing w:before="3" w:line="350" w:lineRule="auto"/>
        <w:ind w:left="113" w:right="285" w:firstLine="639"/>
      </w:pPr>
      <w:r>
        <w:t>（</w:t>
      </w:r>
      <w:r>
        <w:rPr>
          <w:spacing w:val="-14"/>
        </w:rPr>
        <w:t>三</w:t>
      </w:r>
      <w:r>
        <w:rPr>
          <w:rFonts w:hint="eastAsia"/>
          <w:spacing w:val="-14"/>
          <w:lang w:eastAsia="zh-CN"/>
        </w:rPr>
        <w:t>）</w:t>
      </w:r>
      <w:r>
        <w:rPr>
          <w:spacing w:val="-14"/>
        </w:rPr>
        <w:t>执行国家、自治区有关二次供水的管理规定及本办法</w:t>
      </w:r>
      <w:r>
        <w:rPr>
          <w:spacing w:val="-3"/>
          <w:w w:val="105"/>
        </w:rPr>
        <w:t>规定的情况。</w:t>
      </w:r>
    </w:p>
    <w:p w14:paraId="15121B66">
      <w:pPr>
        <w:pStyle w:val="2"/>
        <w:spacing w:before="3" w:line="350" w:lineRule="auto"/>
        <w:ind w:left="113" w:right="285" w:firstLine="639"/>
        <w:jc w:val="both"/>
      </w:pPr>
      <w:r>
        <w:rPr>
          <w:rFonts w:hint="eastAsia" w:ascii="黑体" w:eastAsia="黑体"/>
          <w:spacing w:val="12"/>
        </w:rPr>
        <w:t xml:space="preserve">第二十六条 </w:t>
      </w:r>
      <w:r>
        <w:rPr>
          <w:spacing w:val="-5"/>
        </w:rPr>
        <w:t>有下列行为之一的单位和个人</w:t>
      </w:r>
      <w:r>
        <w:rPr>
          <w:spacing w:val="-121"/>
          <w:w w:val="180"/>
        </w:rPr>
        <w:t>,</w:t>
      </w:r>
      <w:r>
        <w:rPr>
          <w:spacing w:val="-3"/>
        </w:rPr>
        <w:t>由供水行政主</w:t>
      </w:r>
      <w:r>
        <w:rPr>
          <w:spacing w:val="-12"/>
        </w:rPr>
        <w:t>管部门和其他有关部门依据国务院《城市供水条例》《包头市供</w:t>
      </w:r>
      <w:r>
        <w:rPr>
          <w:spacing w:val="-6"/>
        </w:rPr>
        <w:t>水条例》等法律法规的规定追究相应责任。</w:t>
      </w:r>
    </w:p>
    <w:p w14:paraId="4CCDE2A5">
      <w:pPr>
        <w:pStyle w:val="2"/>
        <w:spacing w:before="4" w:line="350" w:lineRule="auto"/>
        <w:ind w:left="113" w:right="170" w:firstLine="639"/>
      </w:pPr>
      <w:r>
        <w:t>（</w:t>
      </w:r>
      <w:r>
        <w:rPr>
          <w:spacing w:val="-7"/>
        </w:rPr>
        <w:t>一</w:t>
      </w:r>
      <w:r>
        <w:rPr>
          <w:rFonts w:hint="eastAsia"/>
          <w:spacing w:val="-7"/>
          <w:lang w:eastAsia="zh-CN"/>
        </w:rPr>
        <w:t>）</w:t>
      </w:r>
      <w:r>
        <w:rPr>
          <w:spacing w:val="-7"/>
        </w:rPr>
        <w:t xml:space="preserve">在二次供水设施新建、改造和运行维护管理过程中, </w:t>
      </w:r>
      <w:r>
        <w:rPr>
          <w:spacing w:val="-6"/>
          <w:w w:val="110"/>
        </w:rPr>
        <w:t>未按本办法相关条款执行</w:t>
      </w:r>
      <w:r>
        <w:rPr>
          <w:w w:val="185"/>
        </w:rPr>
        <w:t>;</w:t>
      </w:r>
    </w:p>
    <w:p w14:paraId="510C7D64">
      <w:pPr>
        <w:pStyle w:val="2"/>
        <w:spacing w:before="3" w:line="350" w:lineRule="auto"/>
        <w:ind w:left="113" w:right="278" w:firstLine="639"/>
      </w:pPr>
      <w:r>
        <w:t>（</w:t>
      </w:r>
      <w:r>
        <w:rPr>
          <w:spacing w:val="-13"/>
        </w:rPr>
        <w:t>二</w:t>
      </w:r>
      <w:r>
        <w:rPr>
          <w:rFonts w:hint="eastAsia"/>
          <w:spacing w:val="-13"/>
          <w:lang w:eastAsia="zh-CN"/>
        </w:rPr>
        <w:t>）</w:t>
      </w:r>
      <w:r>
        <w:rPr>
          <w:spacing w:val="-13"/>
        </w:rPr>
        <w:t>未经公共供水企业同意擅自将城镇二次供水设施与公</w:t>
      </w:r>
      <w:r>
        <w:rPr>
          <w:spacing w:val="-4"/>
          <w:w w:val="105"/>
        </w:rPr>
        <w:t>共供水管网相连接</w:t>
      </w:r>
      <w:r>
        <w:rPr>
          <w:w w:val="185"/>
        </w:rPr>
        <w:t>;</w:t>
      </w:r>
    </w:p>
    <w:p w14:paraId="09E081ED">
      <w:pPr>
        <w:pStyle w:val="2"/>
        <w:spacing w:before="3"/>
        <w:ind w:left="752"/>
      </w:pPr>
      <w:r>
        <w:rPr>
          <w:w w:val="105"/>
        </w:rPr>
        <w:t>（三</w:t>
      </w:r>
      <w:r>
        <w:rPr>
          <w:rFonts w:hint="eastAsia"/>
          <w:w w:val="105"/>
          <w:lang w:eastAsia="zh-CN"/>
        </w:rPr>
        <w:t>）</w:t>
      </w:r>
      <w:r>
        <w:rPr>
          <w:w w:val="105"/>
        </w:rPr>
        <w:t>损坏、侵占或擅自停用、改动、拆除二次供水设施;</w:t>
      </w:r>
    </w:p>
    <w:p w14:paraId="06E6B966">
      <w:pPr>
        <w:pStyle w:val="2"/>
        <w:spacing w:before="190" w:line="350" w:lineRule="auto"/>
        <w:ind w:left="113" w:right="283" w:firstLine="639"/>
      </w:pPr>
      <w:r>
        <w:t>（</w:t>
      </w:r>
      <w:r>
        <w:rPr>
          <w:spacing w:val="-14"/>
        </w:rPr>
        <w:t>四</w:t>
      </w:r>
      <w:r>
        <w:rPr>
          <w:rFonts w:hint="eastAsia"/>
          <w:spacing w:val="-14"/>
          <w:lang w:eastAsia="zh-CN"/>
        </w:rPr>
        <w:t>）</w:t>
      </w:r>
      <w:r>
        <w:rPr>
          <w:spacing w:val="-14"/>
        </w:rPr>
        <w:t>隐瞒、缓报、谎报水质突发事件、水质信息或未采取</w:t>
      </w:r>
      <w:r>
        <w:rPr>
          <w:spacing w:val="-6"/>
          <w:w w:val="105"/>
        </w:rPr>
        <w:t>应急措施</w:t>
      </w:r>
      <w:r>
        <w:rPr>
          <w:w w:val="185"/>
        </w:rPr>
        <w:t>;</w:t>
      </w:r>
    </w:p>
    <w:p w14:paraId="79B82444">
      <w:pPr>
        <w:pStyle w:val="2"/>
        <w:spacing w:before="3"/>
        <w:ind w:left="752"/>
      </w:pPr>
      <w:r>
        <w:rPr>
          <w:w w:val="105"/>
        </w:rPr>
        <w:t>（</w:t>
      </w:r>
      <w:r>
        <w:rPr>
          <w:spacing w:val="-6"/>
          <w:w w:val="105"/>
        </w:rPr>
        <w:t>五</w:t>
      </w:r>
      <w:r>
        <w:rPr>
          <w:rFonts w:hint="eastAsia"/>
          <w:spacing w:val="-6"/>
          <w:w w:val="105"/>
          <w:lang w:eastAsia="zh-CN"/>
        </w:rPr>
        <w:t>）</w:t>
      </w:r>
      <w:r>
        <w:rPr>
          <w:spacing w:val="-10"/>
          <w:w w:val="105"/>
        </w:rPr>
        <w:t>阻挠或者妨碍二次供水设施日常维护及应急抢修工作</w:t>
      </w:r>
      <w:r>
        <w:rPr>
          <w:w w:val="120"/>
        </w:rPr>
        <w:t>;</w:t>
      </w:r>
    </w:p>
    <w:p w14:paraId="590B5A31">
      <w:pPr>
        <w:pStyle w:val="2"/>
        <w:spacing w:before="190"/>
        <w:ind w:left="752"/>
        <w:rPr>
          <w:sz w:val="15"/>
        </w:rPr>
      </w:pPr>
      <w:r>
        <w:rPr>
          <w:w w:val="110"/>
        </w:rPr>
        <w:t>（六</w:t>
      </w:r>
      <w:r>
        <w:rPr>
          <w:rFonts w:hint="eastAsia"/>
          <w:w w:val="110"/>
          <w:lang w:eastAsia="zh-CN"/>
        </w:rPr>
        <w:t>）</w:t>
      </w:r>
      <w:r>
        <w:rPr>
          <w:w w:val="110"/>
        </w:rPr>
        <w:t>损坏、侵占或阻塞维修维护通道</w:t>
      </w:r>
      <w:r>
        <w:rPr>
          <w:w w:val="185"/>
        </w:rPr>
        <w:t>;</w:t>
      </w:r>
    </w:p>
    <w:p w14:paraId="1BE370B2">
      <w:pPr>
        <w:pStyle w:val="2"/>
        <w:spacing w:before="57"/>
        <w:ind w:left="752"/>
      </w:pPr>
      <w:r>
        <w:rPr>
          <w:w w:val="105"/>
        </w:rPr>
        <w:t>（七</w:t>
      </w:r>
      <w:r>
        <w:rPr>
          <w:rFonts w:hint="eastAsia"/>
          <w:w w:val="105"/>
          <w:lang w:eastAsia="zh-CN"/>
        </w:rPr>
        <w:t>）</w:t>
      </w:r>
      <w:r>
        <w:rPr>
          <w:w w:val="105"/>
        </w:rPr>
        <w:t>违反法律法规有关二次供水规定的其它行为。</w:t>
      </w:r>
    </w:p>
    <w:p w14:paraId="46823102">
      <w:pPr>
        <w:pStyle w:val="2"/>
      </w:pPr>
    </w:p>
    <w:p w14:paraId="7A0B816E">
      <w:pPr>
        <w:pStyle w:val="2"/>
        <w:spacing w:before="8"/>
        <w:rPr>
          <w:sz w:val="29"/>
        </w:rPr>
      </w:pPr>
    </w:p>
    <w:p w14:paraId="300D641B">
      <w:pPr>
        <w:pStyle w:val="2"/>
        <w:tabs>
          <w:tab w:val="left" w:pos="1278"/>
          <w:tab w:val="left" w:pos="1922"/>
        </w:tabs>
        <w:ind w:right="172"/>
        <w:jc w:val="center"/>
        <w:rPr>
          <w:rFonts w:hint="eastAsia" w:ascii="黑体" w:eastAsia="黑体"/>
        </w:rPr>
      </w:pPr>
      <w:r>
        <w:rPr>
          <w:rFonts w:hint="eastAsia" w:ascii="黑体" w:eastAsia="黑体"/>
        </w:rPr>
        <w:t>第</w:t>
      </w:r>
      <w:r>
        <w:rPr>
          <w:rFonts w:hint="eastAsia" w:ascii="黑体" w:eastAsia="黑体"/>
          <w:spacing w:val="-5"/>
        </w:rPr>
        <w:t>五</w:t>
      </w:r>
      <w:r>
        <w:rPr>
          <w:rFonts w:hint="eastAsia" w:ascii="黑体" w:eastAsia="黑体"/>
        </w:rPr>
        <w:t>章</w:t>
      </w:r>
      <w:r>
        <w:rPr>
          <w:rFonts w:hint="eastAsia" w:ascii="黑体" w:eastAsia="黑体"/>
        </w:rPr>
        <w:tab/>
      </w:r>
      <w:r>
        <w:rPr>
          <w:rFonts w:hint="eastAsia" w:ascii="黑体" w:eastAsia="黑体"/>
        </w:rPr>
        <w:t>附</w:t>
      </w:r>
      <w:r>
        <w:rPr>
          <w:rFonts w:hint="eastAsia" w:ascii="黑体" w:eastAsia="黑体"/>
        </w:rPr>
        <w:tab/>
      </w:r>
      <w:r>
        <w:rPr>
          <w:rFonts w:hint="eastAsia" w:ascii="黑体" w:eastAsia="黑体"/>
        </w:rPr>
        <w:t>则</w:t>
      </w:r>
    </w:p>
    <w:p w14:paraId="5B1B9A3B">
      <w:pPr>
        <w:pStyle w:val="2"/>
        <w:keepNext w:val="0"/>
        <w:keepLines w:val="0"/>
        <w:pageBreakBefore w:val="0"/>
        <w:widowControl w:val="0"/>
        <w:kinsoku/>
        <w:wordWrap/>
        <w:overflowPunct/>
        <w:topLinePunct w:val="0"/>
        <w:autoSpaceDE w:val="0"/>
        <w:autoSpaceDN w:val="0"/>
        <w:bidi w:val="0"/>
        <w:adjustRightInd/>
        <w:snapToGrid/>
        <w:spacing w:before="9" w:line="351" w:lineRule="auto"/>
        <w:textAlignment w:val="auto"/>
        <w:rPr>
          <w:rFonts w:ascii="黑体"/>
          <w:sz w:val="29"/>
        </w:rPr>
      </w:pPr>
    </w:p>
    <w:p w14:paraId="4F84F3A2">
      <w:pPr>
        <w:pStyle w:val="2"/>
        <w:keepNext w:val="0"/>
        <w:keepLines w:val="0"/>
        <w:pageBreakBefore w:val="0"/>
        <w:widowControl w:val="0"/>
        <w:tabs>
          <w:tab w:val="left" w:pos="2675"/>
        </w:tabs>
        <w:kinsoku/>
        <w:wordWrap/>
        <w:overflowPunct/>
        <w:topLinePunct w:val="0"/>
        <w:autoSpaceDE w:val="0"/>
        <w:autoSpaceDN w:val="0"/>
        <w:bidi w:val="0"/>
        <w:adjustRightInd/>
        <w:snapToGrid/>
        <w:spacing w:line="351" w:lineRule="auto"/>
        <w:ind w:firstLine="672" w:firstLineChars="200"/>
        <w:textAlignment w:val="auto"/>
      </w:pPr>
      <w:r>
        <w:rPr>
          <w:rFonts w:hint="eastAsia" w:ascii="黑体" w:eastAsia="黑体"/>
          <w:w w:val="105"/>
        </w:rPr>
        <w:t>第</w:t>
      </w:r>
      <w:r>
        <w:rPr>
          <w:rFonts w:hint="eastAsia" w:ascii="黑体" w:eastAsia="黑体"/>
          <w:spacing w:val="-5"/>
          <w:w w:val="105"/>
        </w:rPr>
        <w:t>二</w:t>
      </w:r>
      <w:r>
        <w:rPr>
          <w:rFonts w:hint="eastAsia" w:ascii="黑体" w:eastAsia="黑体"/>
          <w:w w:val="105"/>
        </w:rPr>
        <w:t>十七条</w:t>
      </w:r>
      <w:r>
        <w:rPr>
          <w:w w:val="105"/>
        </w:rPr>
        <w:t>本</w:t>
      </w:r>
      <w:r>
        <w:rPr>
          <w:spacing w:val="-25"/>
          <w:w w:val="105"/>
        </w:rPr>
        <w:t>办</w:t>
      </w:r>
      <w:r>
        <w:rPr>
          <w:spacing w:val="-29"/>
          <w:w w:val="105"/>
        </w:rPr>
        <w:t>法</w:t>
      </w:r>
      <w:r>
        <w:rPr>
          <w:spacing w:val="47"/>
          <w:w w:val="105"/>
        </w:rPr>
        <w:t>自</w:t>
      </w:r>
      <w:r>
        <w:rPr>
          <w:rFonts w:ascii="Times New Roman" w:eastAsia="Times New Roman"/>
          <w:spacing w:val="-9"/>
          <w:w w:val="105"/>
        </w:rPr>
        <w:t>2020</w:t>
      </w:r>
      <w:r>
        <w:rPr>
          <w:rFonts w:ascii="Times New Roman" w:eastAsia="Times New Roman"/>
          <w:spacing w:val="-62"/>
          <w:w w:val="105"/>
        </w:rPr>
        <w:t xml:space="preserve"> </w:t>
      </w:r>
      <w:r>
        <w:rPr>
          <w:spacing w:val="47"/>
          <w:w w:val="105"/>
        </w:rPr>
        <w:t>年</w:t>
      </w:r>
      <w:r>
        <w:rPr>
          <w:rFonts w:ascii="Times New Roman" w:eastAsia="Times New Roman"/>
          <w:w w:val="105"/>
        </w:rPr>
        <w:t>3</w:t>
      </w:r>
      <w:r>
        <w:rPr>
          <w:rFonts w:ascii="Times New Roman" w:eastAsia="Times New Roman"/>
          <w:spacing w:val="-60"/>
          <w:w w:val="105"/>
        </w:rPr>
        <w:t xml:space="preserve"> </w:t>
      </w:r>
      <w:r>
        <w:rPr>
          <w:spacing w:val="47"/>
          <w:w w:val="105"/>
        </w:rPr>
        <w:t>月</w:t>
      </w:r>
      <w:r>
        <w:rPr>
          <w:rFonts w:ascii="Times New Roman" w:eastAsia="Times New Roman"/>
          <w:spacing w:val="-4"/>
          <w:w w:val="105"/>
        </w:rPr>
        <w:t>15</w:t>
      </w:r>
      <w:r>
        <w:rPr>
          <w:rFonts w:ascii="Times New Roman" w:eastAsia="Times New Roman"/>
          <w:spacing w:val="-62"/>
          <w:w w:val="105"/>
        </w:rPr>
        <w:t xml:space="preserve"> </w:t>
      </w:r>
      <w:r>
        <w:rPr>
          <w:spacing w:val="-25"/>
          <w:w w:val="105"/>
        </w:rPr>
        <w:t>日</w:t>
      </w:r>
      <w:r>
        <w:rPr>
          <w:spacing w:val="-29"/>
          <w:w w:val="105"/>
        </w:rPr>
        <w:t>起</w:t>
      </w:r>
      <w:r>
        <w:rPr>
          <w:spacing w:val="-25"/>
          <w:w w:val="105"/>
        </w:rPr>
        <w:t>施</w:t>
      </w:r>
      <w:r>
        <w:rPr>
          <w:spacing w:val="-26"/>
          <w:w w:val="105"/>
        </w:rPr>
        <w:t>行</w:t>
      </w:r>
      <w:r>
        <w:rPr>
          <w:spacing w:val="-131"/>
          <w:w w:val="175"/>
        </w:rPr>
        <w:t>,</w:t>
      </w:r>
      <w:r>
        <w:rPr>
          <w:spacing w:val="-25"/>
          <w:w w:val="105"/>
        </w:rPr>
        <w:t>有</w:t>
      </w:r>
      <w:r>
        <w:rPr>
          <w:spacing w:val="-29"/>
          <w:w w:val="105"/>
        </w:rPr>
        <w:t>效</w:t>
      </w:r>
      <w:r>
        <w:rPr>
          <w:spacing w:val="47"/>
          <w:w w:val="105"/>
        </w:rPr>
        <w:t>期</w:t>
      </w:r>
      <w:r>
        <w:rPr>
          <w:rFonts w:ascii="Times New Roman" w:eastAsia="Times New Roman"/>
          <w:w w:val="105"/>
        </w:rPr>
        <w:t>5</w:t>
      </w:r>
      <w:r>
        <w:rPr>
          <w:rFonts w:ascii="Times New Roman" w:eastAsia="Times New Roman"/>
          <w:spacing w:val="-57"/>
          <w:w w:val="105"/>
        </w:rPr>
        <w:t xml:space="preserve"> </w:t>
      </w:r>
      <w:r>
        <w:rPr>
          <w:spacing w:val="-30"/>
          <w:w w:val="105"/>
        </w:rPr>
        <w:t>年</w:t>
      </w:r>
      <w:r>
        <w:rPr>
          <w:w w:val="105"/>
        </w:rPr>
        <w:t>。</w:t>
      </w:r>
    </w:p>
    <w:p w14:paraId="0E89FF17">
      <w:pPr>
        <w:keepNext w:val="0"/>
        <w:keepLines w:val="0"/>
        <w:pageBreakBefore w:val="0"/>
        <w:widowControl w:val="0"/>
        <w:kinsoku/>
        <w:wordWrap/>
        <w:overflowPunct/>
        <w:topLinePunct w:val="0"/>
        <w:autoSpaceDE w:val="0"/>
        <w:autoSpaceDN w:val="0"/>
        <w:bidi w:val="0"/>
        <w:adjustRightInd/>
        <w:snapToGrid/>
        <w:spacing w:after="0" w:line="351" w:lineRule="auto"/>
        <w:ind w:firstLine="672" w:firstLineChars="200"/>
        <w:textAlignment w:val="auto"/>
        <w:rPr>
          <w:sz w:val="28"/>
        </w:rPr>
      </w:pPr>
      <w:r>
        <w:rPr>
          <w:rFonts w:hint="eastAsia" w:ascii="黑体" w:hAnsi="宋体" w:eastAsia="黑体" w:cs="宋体"/>
          <w:w w:val="105"/>
          <w:sz w:val="32"/>
          <w:szCs w:val="32"/>
          <w:lang w:val="en-US" w:eastAsia="zh-CN" w:bidi="ar-SA"/>
        </w:rPr>
        <w:t>第二十八条</w:t>
      </w:r>
      <w:r>
        <w:rPr>
          <w:rFonts w:hint="eastAsia"/>
          <w:lang w:val="en-US" w:eastAsia="zh-CN"/>
        </w:rPr>
        <w:t xml:space="preserve"> </w:t>
      </w:r>
      <w:r>
        <w:rPr>
          <w:rFonts w:hint="eastAsia" w:ascii="宋体" w:hAnsi="宋体" w:eastAsia="宋体" w:cs="宋体"/>
          <w:w w:val="105"/>
          <w:sz w:val="32"/>
          <w:szCs w:val="32"/>
          <w:lang w:val="en-US" w:eastAsia="zh-CN" w:bidi="ar-SA"/>
        </w:rPr>
        <w:t>本办法中涉及的管道直饮水二次供水相关管理要求，若国家、自治区出台新的法律、法规、标准、规范，从其规定。</w:t>
      </w:r>
    </w:p>
    <w:sectPr>
      <w:footerReference r:id="rId5" w:type="default"/>
      <w:footerReference r:id="rId6" w:type="even"/>
      <w:pgSz w:w="11920" w:h="16840"/>
      <w:pgMar w:top="1600" w:right="1247" w:bottom="1638" w:left="124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DE8E6">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06AFB1">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jX3ssBAACc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aDEcYsDv3z/dvnx6/LzK1lW&#10;q5usUB+gxsTHgKlpuPdDzp78gM5MfFDR5i9SIhhHfc9XfeWQiMiP1qv1usKQwNh8QRz29DxESG+l&#10;tyQbDY04wKIrP72HNKbOKbma8w/aGPTz2ri/HIiZPSz3PvaYrTTsh6nxvW/PyKfH2TfU4apTYt45&#10;lDavyWzE2djPxjFEfejKHuV6EO6OCZsoveUKI+xUGIdW2E0Llrfiz3vJevq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Y197LAQAAnAMAAA4AAAAAAAAAAQAgAAAAHgEAAGRycy9lMm9E&#10;b2MueG1sUEsFBgAAAAAGAAYAWQEAAFsFAAAAAA==&#10;">
              <v:fill on="f" focussize="0,0"/>
              <v:stroke on="f"/>
              <v:imagedata o:title=""/>
              <o:lock v:ext="edit" aspectratio="f"/>
              <v:textbox inset="0mm,0mm,0mm,0mm" style="mso-fit-shape-to-text:t;">
                <w:txbxContent>
                  <w:p w14:paraId="0606AFB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3BDCD">
    <w:pPr>
      <w:pStyle w:val="2"/>
      <w:spacing w:line="14" w:lineRule="auto"/>
      <w:rPr>
        <w:sz w:val="2"/>
      </w:rPr>
    </w:pPr>
    <w:r>
      <w:rPr>
        <w:sz w:val="2"/>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9D703A">
                          <w:pPr>
                            <w:pStyle w:val="3"/>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MKt6MsBAACcAwAADgAAAGRycy9lMm9Eb2MueG1srVNLbtswEN0XyB0I&#10;7mPKWrSGYDlIYKQIELQF0h6ApiiLAH/g0JZ8gfYGXXXTfc/lc3RISU6bbrLohhrODN/MezNa3wxG&#10;k6MMoJyt6XJRUCKtcI2y+5p++Xx/vaIEIrcN187Kmp4k0JvN1Zt17ytZus7pRgaCIBaq3te0i9FX&#10;jIHopOGwcF5aDLYuGB7xGvasCbxHdKNZWRRvWe9C44MTEgC92zFIJ8TwGkDXtkrIrRMHI20cUYPU&#10;PCIl6JQHusndtq0U8WPbgoxE1xSZxnxiEbR36WSbNa/2gftOiakF/poWXnAyXFkseoHa8sjJIah/&#10;oIwSwYFr40I4w0YiWRFksSxeaPPUcS8zF5Qa/EV0+H+w4sPxUyCqqWlJieUGB37+/u3849f551ey&#10;LMp3SaHeQ4WJTx5T43DnBtyb2Q/oTMSHNpj0RUoE46jv6aKvHCIR6dGqXK0KDAmMzRfEZ8/PfYD4&#10;XjpDklHTgAPMuvLjI8QxdU5J1ay7V1rnIWr7lwMxk4el3scekxWH3TAR2rnmhHx6nH1NLa46JfrB&#10;orRpTWYjzMZuNg4+qH2X9yjVA397iNhE7i1VGGGnwji0zG5asLQVf95z1vNPtfk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TCrejLAQAAnAMAAA4AAAAAAAAAAQAgAAAAHgEAAGRycy9lMm9E&#10;b2MueG1sUEsFBgAAAAAGAAYAWQEAAFsFAAAAAA==&#10;">
              <v:fill on="f" focussize="0,0"/>
              <v:stroke on="f"/>
              <v:imagedata o:title=""/>
              <o:lock v:ext="edit" aspectratio="f"/>
              <v:textbox inset="0mm,0mm,0mm,0mm" style="mso-fit-shape-to-text:t;">
                <w:txbxContent>
                  <w:p w14:paraId="639D703A">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evenAndOddHeaders w:val="1"/>
  <w:drawingGridHorizontalSpacing w:val="110"/>
  <w:displayHorizontalDrawingGridEvery w:val="2"/>
  <w:characterSpacingControl w:val="doNotCompress"/>
  <w:hdrShapeDefaults>
    <o:shapelayout v:ext="edit">
      <o:idmap v:ext="edit" data="3,4"/>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FF1681"/>
    <w:rsid w:val="37ECC4DB"/>
    <w:rsid w:val="3B7BA3C8"/>
    <w:rsid w:val="3EDFA3AE"/>
    <w:rsid w:val="3FFD4CBC"/>
    <w:rsid w:val="56DEB392"/>
    <w:rsid w:val="5DD99146"/>
    <w:rsid w:val="672E43C0"/>
    <w:rsid w:val="6AEF5138"/>
    <w:rsid w:val="6EFF4DEE"/>
    <w:rsid w:val="73EAD16E"/>
    <w:rsid w:val="799C1334"/>
    <w:rsid w:val="79F9B4B5"/>
    <w:rsid w:val="7FAF1686"/>
    <w:rsid w:val="7FE68AA5"/>
    <w:rsid w:val="B7FF9568"/>
    <w:rsid w:val="BFFDE5A7"/>
    <w:rsid w:val="EF494BF5"/>
    <w:rsid w:val="EFF6A98A"/>
    <w:rsid w:val="EFF75D5C"/>
    <w:rsid w:val="F3FE192B"/>
    <w:rsid w:val="F7CD1DA5"/>
    <w:rsid w:val="FB7DD8D3"/>
    <w:rsid w:val="FDDFDDEE"/>
    <w:rsid w:val="FDEF94A5"/>
    <w:rsid w:val="FEEBD326"/>
    <w:rsid w:val="FFFB9B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en-US" w:eastAsia="zh-CN" w:bidi="ar-SA"/>
    </w:rPr>
  </w:style>
  <w:style w:type="paragraph" w:customStyle="1" w:styleId="8">
    <w:name w:val="Table Paragraph"/>
    <w:basedOn w:val="1"/>
    <w:qFormat/>
    <w:uiPriority w:val="1"/>
    <w:rPr>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463</Words>
  <Characters>499</Characters>
  <TotalTime>24</TotalTime>
  <ScaleCrop>false</ScaleCrop>
  <LinksUpToDate>false</LinksUpToDate>
  <CharactersWithSpaces>505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2020-12-09T22:26:00Z</dcterms:created>
  <dc:creator>user</dc:creator>
  <cp:lastModifiedBy>煞有介事，旁若无人</cp:lastModifiedBy>
  <dcterms:modified xsi:type="dcterms:W3CDTF">2026-03-20T08:01:49Z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DJ Creater</vt:lpwstr>
  </property>
  <property fmtid="{D5CDD505-2E9C-101B-9397-08002B2CF9AE}" pid="3" name="KSOProductBuildVer">
    <vt:lpwstr>2052-12.1.0.24657</vt:lpwstr>
  </property>
  <property fmtid="{D5CDD505-2E9C-101B-9397-08002B2CF9AE}" pid="4" name="ICV">
    <vt:lpwstr>55C6FC793A9C4B9CAF8332327554D0FF_13</vt:lpwstr>
  </property>
</Properties>
</file>